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EED35" w14:textId="77777777" w:rsidR="00115278" w:rsidRDefault="00115278" w:rsidP="00115278">
      <w:pPr>
        <w:spacing w:after="200" w:line="240" w:lineRule="auto"/>
        <w:jc w:val="both"/>
        <w:rPr>
          <w:rFonts w:ascii="Arial" w:hAnsi="Arial" w:cs="Arial"/>
          <w:sz w:val="24"/>
          <w:szCs w:val="24"/>
        </w:rPr>
      </w:pPr>
      <w:bookmarkStart w:id="0" w:name="_Hlk112681218"/>
      <w:bookmarkEnd w:id="0"/>
    </w:p>
    <w:p w14:paraId="793F0821" w14:textId="77777777" w:rsidR="00115278" w:rsidRDefault="00115278" w:rsidP="00115278">
      <w:pPr>
        <w:spacing w:after="200" w:line="240" w:lineRule="auto"/>
        <w:jc w:val="both"/>
        <w:rPr>
          <w:rFonts w:ascii="Arial" w:hAnsi="Arial" w:cs="Arial"/>
          <w:sz w:val="24"/>
          <w:szCs w:val="24"/>
        </w:rPr>
      </w:pPr>
    </w:p>
    <w:p w14:paraId="0227E030" w14:textId="77777777" w:rsidR="00115278" w:rsidRDefault="00115278" w:rsidP="00115278">
      <w:pPr>
        <w:spacing w:after="200" w:line="240" w:lineRule="auto"/>
        <w:jc w:val="both"/>
        <w:rPr>
          <w:rFonts w:ascii="Arial" w:hAnsi="Arial" w:cs="Arial"/>
          <w:sz w:val="24"/>
          <w:szCs w:val="24"/>
        </w:rPr>
      </w:pPr>
    </w:p>
    <w:p w14:paraId="4ED05133" w14:textId="77777777" w:rsidR="00115278" w:rsidRDefault="00115278" w:rsidP="00115278">
      <w:pPr>
        <w:spacing w:after="200" w:line="240" w:lineRule="auto"/>
        <w:jc w:val="both"/>
        <w:rPr>
          <w:rFonts w:ascii="Arial" w:hAnsi="Arial" w:cs="Arial"/>
          <w:sz w:val="24"/>
          <w:szCs w:val="24"/>
        </w:rPr>
      </w:pPr>
    </w:p>
    <w:p w14:paraId="28C80179" w14:textId="77777777" w:rsidR="000D2772" w:rsidRDefault="00115278" w:rsidP="00115278">
      <w:pPr>
        <w:spacing w:after="200" w:line="240" w:lineRule="auto"/>
        <w:jc w:val="center"/>
        <w:rPr>
          <w:rFonts w:ascii="Arial" w:hAnsi="Arial" w:cs="Arial"/>
          <w:b/>
          <w:sz w:val="96"/>
          <w:szCs w:val="96"/>
        </w:rPr>
      </w:pPr>
      <w:r>
        <w:rPr>
          <w:rFonts w:ascii="Arial" w:hAnsi="Arial" w:cs="Arial"/>
          <w:noProof/>
          <w:sz w:val="24"/>
          <w:szCs w:val="24"/>
          <w:lang w:eastAsia="en-GB"/>
        </w:rPr>
        <w:drawing>
          <wp:anchor distT="0" distB="0" distL="114300" distR="114300" simplePos="0" relativeHeight="251658240" behindDoc="0" locked="0" layoutInCell="1" allowOverlap="1" wp14:anchorId="14CEE4EF" wp14:editId="60315A2C">
            <wp:simplePos x="914400" y="914400"/>
            <wp:positionH relativeFrom="margin">
              <wp:align>center</wp:align>
            </wp:positionH>
            <wp:positionV relativeFrom="margin">
              <wp:align>top</wp:align>
            </wp:positionV>
            <wp:extent cx="5198976" cy="180000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glian Learning - Transparent Background.png"/>
                    <pic:cNvPicPr/>
                  </pic:nvPicPr>
                  <pic:blipFill>
                    <a:blip r:embed="rId11">
                      <a:extLst>
                        <a:ext uri="{28A0092B-C50C-407E-A947-70E740481C1C}">
                          <a14:useLocalDpi xmlns:a14="http://schemas.microsoft.com/office/drawing/2010/main" val="0"/>
                        </a:ext>
                      </a:extLst>
                    </a:blip>
                    <a:stretch>
                      <a:fillRect/>
                    </a:stretch>
                  </pic:blipFill>
                  <pic:spPr>
                    <a:xfrm>
                      <a:off x="0" y="0"/>
                      <a:ext cx="5198976" cy="1800000"/>
                    </a:xfrm>
                    <a:prstGeom prst="rect">
                      <a:avLst/>
                    </a:prstGeom>
                  </pic:spPr>
                </pic:pic>
              </a:graphicData>
            </a:graphic>
          </wp:anchor>
        </w:drawing>
      </w:r>
      <w:r>
        <w:rPr>
          <w:rFonts w:ascii="Arial" w:hAnsi="Arial" w:cs="Arial"/>
          <w:b/>
          <w:sz w:val="96"/>
          <w:szCs w:val="96"/>
        </w:rPr>
        <w:t xml:space="preserve">Anglian </w:t>
      </w:r>
      <w:r w:rsidR="00634C93">
        <w:rPr>
          <w:rFonts w:ascii="Arial" w:hAnsi="Arial" w:cs="Arial"/>
          <w:b/>
          <w:sz w:val="96"/>
          <w:szCs w:val="96"/>
        </w:rPr>
        <w:t>Learning</w:t>
      </w:r>
      <w:r>
        <w:rPr>
          <w:rFonts w:ascii="Arial" w:hAnsi="Arial" w:cs="Arial"/>
          <w:b/>
          <w:sz w:val="96"/>
          <w:szCs w:val="96"/>
        </w:rPr>
        <w:t xml:space="preserve"> </w:t>
      </w:r>
    </w:p>
    <w:p w14:paraId="1BED57AD" w14:textId="77777777" w:rsidR="00115278" w:rsidRDefault="00115278" w:rsidP="00115278">
      <w:pPr>
        <w:spacing w:after="200" w:line="240" w:lineRule="auto"/>
        <w:jc w:val="center"/>
        <w:rPr>
          <w:rFonts w:ascii="Arial" w:hAnsi="Arial" w:cs="Arial"/>
          <w:b/>
          <w:sz w:val="72"/>
          <w:szCs w:val="72"/>
        </w:rPr>
      </w:pPr>
    </w:p>
    <w:p w14:paraId="7B493DB8" w14:textId="3E035B1E" w:rsidR="00115278" w:rsidRDefault="00E50C0A" w:rsidP="00115278">
      <w:pPr>
        <w:spacing w:after="200" w:line="240" w:lineRule="auto"/>
        <w:jc w:val="center"/>
        <w:rPr>
          <w:rFonts w:ascii="Arial" w:hAnsi="Arial" w:cs="Arial"/>
          <w:b/>
          <w:sz w:val="72"/>
          <w:szCs w:val="72"/>
        </w:rPr>
      </w:pPr>
      <w:r>
        <w:rPr>
          <w:rFonts w:ascii="Arial" w:hAnsi="Arial" w:cs="Arial"/>
          <w:b/>
          <w:sz w:val="72"/>
          <w:szCs w:val="72"/>
        </w:rPr>
        <w:t>Energy Strategy</w:t>
      </w:r>
    </w:p>
    <w:p w14:paraId="43D1ACB0" w14:textId="08B6A8E7" w:rsidR="00842A36" w:rsidRDefault="00E50C0A" w:rsidP="00115278">
      <w:pPr>
        <w:spacing w:after="200" w:line="240" w:lineRule="auto"/>
        <w:jc w:val="center"/>
        <w:rPr>
          <w:rFonts w:ascii="Arial" w:hAnsi="Arial" w:cs="Arial"/>
          <w:b/>
          <w:sz w:val="72"/>
          <w:szCs w:val="72"/>
        </w:rPr>
      </w:pPr>
      <w:r>
        <w:rPr>
          <w:rFonts w:ascii="Arial" w:hAnsi="Arial" w:cs="Arial"/>
          <w:b/>
          <w:sz w:val="72"/>
          <w:szCs w:val="72"/>
        </w:rPr>
        <w:t>September 2022</w:t>
      </w:r>
    </w:p>
    <w:p w14:paraId="5DDAA4B1" w14:textId="77777777" w:rsidR="00115278" w:rsidRDefault="00115278" w:rsidP="00115278">
      <w:pPr>
        <w:spacing w:after="200" w:line="240" w:lineRule="auto"/>
        <w:jc w:val="center"/>
        <w:rPr>
          <w:rFonts w:ascii="Arial" w:hAnsi="Arial" w:cs="Arial"/>
          <w:b/>
          <w:sz w:val="24"/>
          <w:szCs w:val="24"/>
        </w:rPr>
      </w:pPr>
    </w:p>
    <w:p w14:paraId="27ED0274" w14:textId="77777777" w:rsidR="00E52FA2" w:rsidRDefault="00E52FA2" w:rsidP="00E52FA2">
      <w:pPr>
        <w:pStyle w:val="Normal1"/>
        <w:spacing w:line="240" w:lineRule="auto"/>
        <w:contextualSpacing w:val="0"/>
      </w:pPr>
    </w:p>
    <w:p w14:paraId="4A83E20C" w14:textId="77777777" w:rsidR="00E52FA2" w:rsidRDefault="00E52FA2" w:rsidP="00E52FA2">
      <w:pPr>
        <w:pStyle w:val="Normal1"/>
        <w:spacing w:line="240" w:lineRule="auto"/>
        <w:contextualSpacing w:val="0"/>
      </w:pPr>
    </w:p>
    <w:p w14:paraId="4083D242" w14:textId="77777777" w:rsidR="00E52FA2" w:rsidRDefault="00E52FA2" w:rsidP="00E52FA2">
      <w:pPr>
        <w:pStyle w:val="Normal1"/>
        <w:spacing w:line="240" w:lineRule="auto"/>
        <w:contextualSpacing w:val="0"/>
      </w:pPr>
    </w:p>
    <w:p w14:paraId="1C25F709" w14:textId="77777777" w:rsidR="0064573A" w:rsidRDefault="0064573A" w:rsidP="00E52FA2">
      <w:pPr>
        <w:pStyle w:val="Normal1"/>
        <w:spacing w:line="240" w:lineRule="auto"/>
        <w:contextualSpacing w:val="0"/>
      </w:pPr>
    </w:p>
    <w:p w14:paraId="7782CB90" w14:textId="77777777" w:rsidR="0064573A" w:rsidRDefault="0064573A" w:rsidP="00E52FA2">
      <w:pPr>
        <w:pStyle w:val="Normal1"/>
        <w:spacing w:line="240" w:lineRule="auto"/>
        <w:contextualSpacing w:val="0"/>
      </w:pPr>
    </w:p>
    <w:p w14:paraId="6FC85576" w14:textId="77777777" w:rsidR="0064573A" w:rsidRDefault="0064573A" w:rsidP="00E52FA2">
      <w:pPr>
        <w:pStyle w:val="Normal1"/>
        <w:spacing w:line="240" w:lineRule="auto"/>
        <w:contextualSpacing w:val="0"/>
      </w:pPr>
    </w:p>
    <w:p w14:paraId="73837D56" w14:textId="77777777" w:rsidR="0064573A" w:rsidRDefault="0064573A" w:rsidP="00E52FA2">
      <w:pPr>
        <w:pStyle w:val="Normal1"/>
        <w:spacing w:line="240" w:lineRule="auto"/>
        <w:contextualSpacing w:val="0"/>
      </w:pPr>
    </w:p>
    <w:p w14:paraId="166C349F" w14:textId="77777777" w:rsidR="0064573A" w:rsidRDefault="0064573A" w:rsidP="00E52FA2">
      <w:pPr>
        <w:pStyle w:val="Normal1"/>
        <w:spacing w:line="240" w:lineRule="auto"/>
        <w:contextualSpacing w:val="0"/>
      </w:pPr>
    </w:p>
    <w:p w14:paraId="502B6C49" w14:textId="77777777" w:rsidR="0064573A" w:rsidRDefault="0064573A" w:rsidP="00E52FA2">
      <w:pPr>
        <w:pStyle w:val="Normal1"/>
        <w:spacing w:line="240" w:lineRule="auto"/>
        <w:contextualSpacing w:val="0"/>
      </w:pPr>
    </w:p>
    <w:p w14:paraId="2CE61306" w14:textId="77777777" w:rsidR="00E52FA2" w:rsidRDefault="00E52FA2" w:rsidP="00E52FA2">
      <w:pPr>
        <w:pStyle w:val="Normal1"/>
        <w:spacing w:line="240" w:lineRule="auto"/>
        <w:contextualSpacing w:val="0"/>
      </w:pPr>
    </w:p>
    <w:p w14:paraId="1174933E" w14:textId="77777777" w:rsidR="00E52FA2" w:rsidRDefault="00E52FA2" w:rsidP="00E52FA2">
      <w:pPr>
        <w:pStyle w:val="Normal1"/>
        <w:spacing w:line="240" w:lineRule="auto"/>
        <w:contextualSpacing w:val="0"/>
      </w:pPr>
    </w:p>
    <w:p w14:paraId="40415EA1" w14:textId="77777777" w:rsidR="00E52FA2" w:rsidRDefault="00E52FA2" w:rsidP="00E52FA2">
      <w:pPr>
        <w:pStyle w:val="Normal1"/>
        <w:spacing w:line="240" w:lineRule="auto"/>
        <w:contextualSpacing w:val="0"/>
      </w:pPr>
    </w:p>
    <w:p w14:paraId="26D82DAB" w14:textId="77777777" w:rsidR="009A0518" w:rsidRDefault="009A0518" w:rsidP="00E52FA2">
      <w:pPr>
        <w:pStyle w:val="Normal1"/>
        <w:spacing w:line="240" w:lineRule="auto"/>
        <w:contextualSpacing w:val="0"/>
      </w:pPr>
    </w:p>
    <w:p w14:paraId="4E5CB12B" w14:textId="77777777" w:rsidR="009A0518" w:rsidRDefault="009A0518" w:rsidP="00E52FA2">
      <w:pPr>
        <w:pStyle w:val="Normal1"/>
        <w:spacing w:line="240" w:lineRule="auto"/>
        <w:contextualSpacing w:val="0"/>
      </w:pPr>
    </w:p>
    <w:p w14:paraId="5505935D" w14:textId="77777777" w:rsidR="00E52FA2" w:rsidRDefault="00E52FA2" w:rsidP="00E52FA2">
      <w:pPr>
        <w:pStyle w:val="Normal1"/>
        <w:spacing w:line="240" w:lineRule="auto"/>
        <w:contextualSpacing w:val="0"/>
      </w:pPr>
    </w:p>
    <w:p w14:paraId="51F34155" w14:textId="77777777" w:rsidR="00E52FA2" w:rsidRDefault="00E52FA2" w:rsidP="00E52FA2">
      <w:pPr>
        <w:pStyle w:val="Normal1"/>
        <w:spacing w:line="240" w:lineRule="auto"/>
        <w:contextualSpacing w:val="0"/>
      </w:pPr>
    </w:p>
    <w:p w14:paraId="7C1E3EF4" w14:textId="77777777" w:rsidR="00E52FA2" w:rsidRDefault="00E52FA2" w:rsidP="00E52FA2">
      <w:pPr>
        <w:pStyle w:val="Normal1"/>
        <w:spacing w:line="240" w:lineRule="auto"/>
        <w:contextualSpacing w:val="0"/>
      </w:pPr>
    </w:p>
    <w:p w14:paraId="2F62181E" w14:textId="77777777" w:rsidR="0064573A" w:rsidRPr="00CB5B1C" w:rsidRDefault="0064573A" w:rsidP="0064573A">
      <w:pPr>
        <w:pStyle w:val="Normal1"/>
        <w:spacing w:line="240" w:lineRule="auto"/>
        <w:contextualSpacing w:val="0"/>
        <w:rPr>
          <w:sz w:val="24"/>
        </w:rPr>
      </w:pPr>
      <w:r w:rsidRPr="00CB5B1C">
        <w:rPr>
          <w:sz w:val="24"/>
        </w:rPr>
        <w:t>Revision History</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2"/>
        <w:gridCol w:w="1984"/>
        <w:gridCol w:w="1134"/>
        <w:gridCol w:w="3412"/>
      </w:tblGrid>
      <w:tr w:rsidR="0064573A" w:rsidRPr="00CB5B1C" w14:paraId="718C2C61" w14:textId="77777777" w:rsidTr="00BF7519">
        <w:tc>
          <w:tcPr>
            <w:tcW w:w="2542" w:type="dxa"/>
            <w:shd w:val="clear" w:color="auto" w:fill="auto"/>
            <w:tcMar>
              <w:top w:w="100" w:type="dxa"/>
              <w:left w:w="100" w:type="dxa"/>
              <w:bottom w:w="100" w:type="dxa"/>
              <w:right w:w="100" w:type="dxa"/>
            </w:tcMar>
          </w:tcPr>
          <w:p w14:paraId="61440BF1" w14:textId="77777777" w:rsidR="0064573A" w:rsidRPr="00CB5B1C" w:rsidRDefault="0064573A" w:rsidP="00BF7519">
            <w:pPr>
              <w:pStyle w:val="Normal1"/>
              <w:widowControl w:val="0"/>
              <w:spacing w:before="60" w:after="60" w:line="240" w:lineRule="auto"/>
              <w:contextualSpacing w:val="0"/>
              <w:rPr>
                <w:sz w:val="24"/>
                <w:szCs w:val="24"/>
              </w:rPr>
            </w:pPr>
            <w:r w:rsidRPr="00CB5B1C">
              <w:rPr>
                <w:sz w:val="24"/>
                <w:szCs w:val="24"/>
              </w:rPr>
              <w:t>Date</w:t>
            </w:r>
          </w:p>
        </w:tc>
        <w:tc>
          <w:tcPr>
            <w:tcW w:w="1984" w:type="dxa"/>
          </w:tcPr>
          <w:p w14:paraId="0A8AFC9D" w14:textId="77777777" w:rsidR="0064573A" w:rsidRPr="00CB5B1C" w:rsidRDefault="0064573A" w:rsidP="00BF7519">
            <w:pPr>
              <w:pStyle w:val="Normal1"/>
              <w:widowControl w:val="0"/>
              <w:spacing w:before="60" w:after="60" w:line="240" w:lineRule="auto"/>
              <w:contextualSpacing w:val="0"/>
              <w:rPr>
                <w:sz w:val="24"/>
                <w:szCs w:val="24"/>
                <w:lang w:val="en-GB"/>
              </w:rPr>
            </w:pPr>
            <w:r w:rsidRPr="00CB5B1C">
              <w:rPr>
                <w:sz w:val="24"/>
                <w:szCs w:val="24"/>
                <w:lang w:val="en-GB"/>
              </w:rPr>
              <w:t>Author</w:t>
            </w:r>
          </w:p>
        </w:tc>
        <w:tc>
          <w:tcPr>
            <w:tcW w:w="1134" w:type="dxa"/>
            <w:shd w:val="clear" w:color="auto" w:fill="auto"/>
            <w:tcMar>
              <w:top w:w="100" w:type="dxa"/>
              <w:left w:w="100" w:type="dxa"/>
              <w:bottom w:w="100" w:type="dxa"/>
              <w:right w:w="100" w:type="dxa"/>
            </w:tcMar>
          </w:tcPr>
          <w:p w14:paraId="1109C145" w14:textId="77777777" w:rsidR="0064573A" w:rsidRPr="00CB5B1C" w:rsidRDefault="0064573A" w:rsidP="00BF7519">
            <w:pPr>
              <w:pStyle w:val="Normal1"/>
              <w:widowControl w:val="0"/>
              <w:spacing w:before="60" w:after="60" w:line="240" w:lineRule="auto"/>
              <w:contextualSpacing w:val="0"/>
              <w:rPr>
                <w:sz w:val="24"/>
                <w:szCs w:val="24"/>
              </w:rPr>
            </w:pPr>
            <w:r w:rsidRPr="00CB5B1C">
              <w:rPr>
                <w:sz w:val="24"/>
                <w:szCs w:val="24"/>
              </w:rPr>
              <w:t>Version</w:t>
            </w:r>
          </w:p>
        </w:tc>
        <w:tc>
          <w:tcPr>
            <w:tcW w:w="3412" w:type="dxa"/>
            <w:shd w:val="clear" w:color="auto" w:fill="auto"/>
            <w:tcMar>
              <w:top w:w="100" w:type="dxa"/>
              <w:left w:w="100" w:type="dxa"/>
              <w:bottom w:w="100" w:type="dxa"/>
              <w:right w:w="100" w:type="dxa"/>
            </w:tcMar>
          </w:tcPr>
          <w:p w14:paraId="3E482A51" w14:textId="77777777" w:rsidR="0064573A" w:rsidRPr="00CB5B1C" w:rsidRDefault="0064573A" w:rsidP="00BF7519">
            <w:pPr>
              <w:pStyle w:val="Normal1"/>
              <w:widowControl w:val="0"/>
              <w:spacing w:before="60" w:after="60" w:line="240" w:lineRule="auto"/>
              <w:contextualSpacing w:val="0"/>
              <w:rPr>
                <w:sz w:val="24"/>
                <w:szCs w:val="24"/>
              </w:rPr>
            </w:pPr>
            <w:r w:rsidRPr="00CB5B1C">
              <w:rPr>
                <w:sz w:val="24"/>
                <w:szCs w:val="24"/>
              </w:rPr>
              <w:t>Description of Change</w:t>
            </w:r>
          </w:p>
        </w:tc>
      </w:tr>
      <w:tr w:rsidR="0064573A" w:rsidRPr="00CB5B1C" w14:paraId="00CF51F3" w14:textId="77777777" w:rsidTr="00BF7519">
        <w:tc>
          <w:tcPr>
            <w:tcW w:w="2542" w:type="dxa"/>
            <w:shd w:val="clear" w:color="auto" w:fill="auto"/>
            <w:tcMar>
              <w:top w:w="100" w:type="dxa"/>
              <w:left w:w="100" w:type="dxa"/>
              <w:bottom w:w="100" w:type="dxa"/>
              <w:right w:w="100" w:type="dxa"/>
            </w:tcMar>
          </w:tcPr>
          <w:p w14:paraId="298F85F7" w14:textId="08096431" w:rsidR="0064573A" w:rsidRPr="00CB5B1C" w:rsidRDefault="00E50C0A" w:rsidP="00BF7519">
            <w:pPr>
              <w:pStyle w:val="Normal1"/>
              <w:widowControl w:val="0"/>
              <w:spacing w:before="60" w:after="60" w:line="240" w:lineRule="auto"/>
              <w:contextualSpacing w:val="0"/>
              <w:rPr>
                <w:sz w:val="24"/>
                <w:szCs w:val="24"/>
                <w:lang w:val="en-GB"/>
              </w:rPr>
            </w:pPr>
            <w:r>
              <w:rPr>
                <w:sz w:val="24"/>
                <w:szCs w:val="24"/>
                <w:lang w:val="en-GB"/>
              </w:rPr>
              <w:t>22/08/2022</w:t>
            </w:r>
          </w:p>
        </w:tc>
        <w:tc>
          <w:tcPr>
            <w:tcW w:w="1984" w:type="dxa"/>
          </w:tcPr>
          <w:p w14:paraId="021330F9" w14:textId="2672951B" w:rsidR="0064573A" w:rsidRPr="00CB5B1C" w:rsidRDefault="00E50C0A" w:rsidP="00BF7519">
            <w:pPr>
              <w:pStyle w:val="Normal1"/>
              <w:widowControl w:val="0"/>
              <w:spacing w:before="60" w:after="60" w:line="240" w:lineRule="auto"/>
              <w:contextualSpacing w:val="0"/>
              <w:rPr>
                <w:sz w:val="24"/>
                <w:szCs w:val="24"/>
                <w:lang w:val="en-GB"/>
              </w:rPr>
            </w:pPr>
            <w:r>
              <w:rPr>
                <w:sz w:val="24"/>
                <w:szCs w:val="24"/>
                <w:lang w:val="en-GB"/>
              </w:rPr>
              <w:t>Charity Main</w:t>
            </w:r>
          </w:p>
        </w:tc>
        <w:tc>
          <w:tcPr>
            <w:tcW w:w="1134" w:type="dxa"/>
            <w:shd w:val="clear" w:color="auto" w:fill="auto"/>
            <w:tcMar>
              <w:top w:w="100" w:type="dxa"/>
              <w:left w:w="100" w:type="dxa"/>
              <w:bottom w:w="100" w:type="dxa"/>
              <w:right w:w="100" w:type="dxa"/>
            </w:tcMar>
          </w:tcPr>
          <w:p w14:paraId="354A6493" w14:textId="77777777" w:rsidR="0064573A" w:rsidRPr="00CB5B1C" w:rsidRDefault="001D3407" w:rsidP="00BF7519">
            <w:pPr>
              <w:pStyle w:val="Normal1"/>
              <w:widowControl w:val="0"/>
              <w:spacing w:before="60" w:after="60" w:line="240" w:lineRule="auto"/>
              <w:contextualSpacing w:val="0"/>
              <w:rPr>
                <w:sz w:val="24"/>
                <w:szCs w:val="24"/>
                <w:lang w:val="en-GB"/>
              </w:rPr>
            </w:pPr>
            <w:r>
              <w:rPr>
                <w:sz w:val="24"/>
                <w:szCs w:val="24"/>
                <w:lang w:val="en-GB"/>
              </w:rPr>
              <w:t>0.1</w:t>
            </w:r>
          </w:p>
        </w:tc>
        <w:tc>
          <w:tcPr>
            <w:tcW w:w="3412" w:type="dxa"/>
            <w:shd w:val="clear" w:color="auto" w:fill="auto"/>
            <w:tcMar>
              <w:top w:w="100" w:type="dxa"/>
              <w:left w:w="100" w:type="dxa"/>
              <w:bottom w:w="100" w:type="dxa"/>
              <w:right w:w="100" w:type="dxa"/>
            </w:tcMar>
          </w:tcPr>
          <w:p w14:paraId="02012404" w14:textId="5584C7BA" w:rsidR="0064573A" w:rsidRPr="00CB5B1C" w:rsidRDefault="003B2BBC" w:rsidP="00BF7519">
            <w:pPr>
              <w:pStyle w:val="Normal1"/>
              <w:widowControl w:val="0"/>
              <w:spacing w:before="60" w:after="60" w:line="240" w:lineRule="auto"/>
              <w:contextualSpacing w:val="0"/>
              <w:rPr>
                <w:sz w:val="24"/>
                <w:szCs w:val="24"/>
                <w:lang w:val="en-GB"/>
              </w:rPr>
            </w:pPr>
            <w:r>
              <w:rPr>
                <w:sz w:val="24"/>
                <w:szCs w:val="24"/>
                <w:lang w:val="en-GB"/>
              </w:rPr>
              <w:t>Template created</w:t>
            </w:r>
          </w:p>
        </w:tc>
      </w:tr>
      <w:tr w:rsidR="0064573A" w:rsidRPr="00CB5B1C" w14:paraId="00CF7B49" w14:textId="77777777" w:rsidTr="00BF7519">
        <w:tc>
          <w:tcPr>
            <w:tcW w:w="2542" w:type="dxa"/>
            <w:shd w:val="clear" w:color="auto" w:fill="auto"/>
            <w:tcMar>
              <w:top w:w="100" w:type="dxa"/>
              <w:left w:w="100" w:type="dxa"/>
              <w:bottom w:w="100" w:type="dxa"/>
              <w:right w:w="100" w:type="dxa"/>
            </w:tcMar>
          </w:tcPr>
          <w:p w14:paraId="2C877600" w14:textId="5936EB30" w:rsidR="0064573A" w:rsidRPr="00CB5B1C" w:rsidRDefault="003B2BBC" w:rsidP="00BF7519">
            <w:pPr>
              <w:pStyle w:val="Normal1"/>
              <w:widowControl w:val="0"/>
              <w:spacing w:before="60" w:after="60" w:line="240" w:lineRule="auto"/>
              <w:contextualSpacing w:val="0"/>
              <w:rPr>
                <w:sz w:val="24"/>
                <w:szCs w:val="24"/>
                <w:lang w:val="en-GB"/>
              </w:rPr>
            </w:pPr>
            <w:r>
              <w:rPr>
                <w:sz w:val="24"/>
                <w:szCs w:val="24"/>
                <w:lang w:val="en-GB"/>
              </w:rPr>
              <w:t>15/09/2022</w:t>
            </w:r>
          </w:p>
        </w:tc>
        <w:tc>
          <w:tcPr>
            <w:tcW w:w="1984" w:type="dxa"/>
          </w:tcPr>
          <w:p w14:paraId="63C6BA9B" w14:textId="37392319" w:rsidR="0064573A" w:rsidRPr="00CB5B1C" w:rsidRDefault="003B2BBC" w:rsidP="00BF7519">
            <w:pPr>
              <w:pStyle w:val="Normal1"/>
              <w:widowControl w:val="0"/>
              <w:spacing w:before="60" w:after="60" w:line="240" w:lineRule="auto"/>
              <w:contextualSpacing w:val="0"/>
              <w:rPr>
                <w:sz w:val="24"/>
                <w:szCs w:val="24"/>
                <w:lang w:val="en-GB"/>
              </w:rPr>
            </w:pPr>
            <w:r>
              <w:rPr>
                <w:sz w:val="24"/>
                <w:szCs w:val="24"/>
                <w:lang w:val="en-GB"/>
              </w:rPr>
              <w:t>Charity</w:t>
            </w:r>
          </w:p>
        </w:tc>
        <w:tc>
          <w:tcPr>
            <w:tcW w:w="1134" w:type="dxa"/>
            <w:shd w:val="clear" w:color="auto" w:fill="auto"/>
            <w:tcMar>
              <w:top w:w="100" w:type="dxa"/>
              <w:left w:w="100" w:type="dxa"/>
              <w:bottom w:w="100" w:type="dxa"/>
              <w:right w:w="100" w:type="dxa"/>
            </w:tcMar>
          </w:tcPr>
          <w:p w14:paraId="59F1A67C" w14:textId="77777777" w:rsidR="0064573A" w:rsidRPr="00CB5B1C" w:rsidRDefault="001D3407" w:rsidP="00BF7519">
            <w:pPr>
              <w:pStyle w:val="Normal1"/>
              <w:widowControl w:val="0"/>
              <w:spacing w:before="60" w:after="60" w:line="240" w:lineRule="auto"/>
              <w:contextualSpacing w:val="0"/>
              <w:rPr>
                <w:sz w:val="24"/>
                <w:szCs w:val="24"/>
                <w:lang w:val="en-GB"/>
              </w:rPr>
            </w:pPr>
            <w:r>
              <w:rPr>
                <w:sz w:val="24"/>
                <w:szCs w:val="24"/>
                <w:lang w:val="en-GB"/>
              </w:rPr>
              <w:t>1.0</w:t>
            </w:r>
          </w:p>
        </w:tc>
        <w:tc>
          <w:tcPr>
            <w:tcW w:w="3412" w:type="dxa"/>
            <w:shd w:val="clear" w:color="auto" w:fill="auto"/>
            <w:tcMar>
              <w:top w:w="100" w:type="dxa"/>
              <w:left w:w="100" w:type="dxa"/>
              <w:bottom w:w="100" w:type="dxa"/>
              <w:right w:w="100" w:type="dxa"/>
            </w:tcMar>
          </w:tcPr>
          <w:p w14:paraId="268CC0DC" w14:textId="7B9825F7" w:rsidR="0064573A" w:rsidRPr="00CB5B1C" w:rsidRDefault="003B2BBC" w:rsidP="00BF7519">
            <w:pPr>
              <w:pStyle w:val="Normal1"/>
              <w:widowControl w:val="0"/>
              <w:spacing w:before="60" w:after="60" w:line="240" w:lineRule="auto"/>
              <w:contextualSpacing w:val="0"/>
              <w:rPr>
                <w:sz w:val="24"/>
                <w:szCs w:val="24"/>
                <w:lang w:val="en-GB"/>
              </w:rPr>
            </w:pPr>
            <w:r>
              <w:rPr>
                <w:sz w:val="24"/>
                <w:szCs w:val="24"/>
                <w:lang w:val="en-GB"/>
              </w:rPr>
              <w:t xml:space="preserve">First </w:t>
            </w:r>
            <w:r w:rsidR="0032568C">
              <w:rPr>
                <w:sz w:val="24"/>
                <w:szCs w:val="24"/>
                <w:lang w:val="en-GB"/>
              </w:rPr>
              <w:t>version for review by FEOC</w:t>
            </w:r>
          </w:p>
        </w:tc>
      </w:tr>
    </w:tbl>
    <w:p w14:paraId="32B95E50" w14:textId="77777777" w:rsidR="0064573A" w:rsidRPr="00CB5B1C" w:rsidRDefault="0064573A" w:rsidP="0064573A">
      <w:pPr>
        <w:spacing w:after="200" w:line="240" w:lineRule="auto"/>
        <w:jc w:val="both"/>
        <w:rPr>
          <w:rFonts w:ascii="Arial" w:hAnsi="Arial" w:cs="Arial"/>
          <w:sz w:val="24"/>
          <w:szCs w:val="24"/>
        </w:rPr>
      </w:pPr>
    </w:p>
    <w:p w14:paraId="0C63DEC9" w14:textId="77777777" w:rsidR="0064573A" w:rsidRPr="00E13B1D" w:rsidRDefault="0064573A" w:rsidP="0064573A">
      <w:pPr>
        <w:pStyle w:val="Normal1"/>
        <w:spacing w:line="240" w:lineRule="auto"/>
        <w:contextualSpacing w:val="0"/>
        <w:rPr>
          <w:sz w:val="24"/>
          <w:lang w:val="en-GB"/>
        </w:rPr>
      </w:pPr>
      <w:r w:rsidRPr="00E13B1D">
        <w:rPr>
          <w:sz w:val="24"/>
          <w:lang w:val="en-GB"/>
        </w:rPr>
        <w:t xml:space="preserve">Consultation </w:t>
      </w:r>
      <w:r>
        <w:rPr>
          <w:sz w:val="24"/>
          <w:lang w:val="en-GB"/>
        </w:rPr>
        <w:t>History</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1"/>
        <w:gridCol w:w="1275"/>
        <w:gridCol w:w="4546"/>
      </w:tblGrid>
      <w:tr w:rsidR="0064573A" w:rsidRPr="00E13B1D" w14:paraId="02CAECF6" w14:textId="77777777" w:rsidTr="00BF7519">
        <w:tc>
          <w:tcPr>
            <w:tcW w:w="3251" w:type="dxa"/>
            <w:shd w:val="clear" w:color="auto" w:fill="auto"/>
            <w:tcMar>
              <w:top w:w="100" w:type="dxa"/>
              <w:left w:w="100" w:type="dxa"/>
              <w:bottom w:w="100" w:type="dxa"/>
              <w:right w:w="100" w:type="dxa"/>
            </w:tcMar>
          </w:tcPr>
          <w:p w14:paraId="6E667B14" w14:textId="77777777" w:rsidR="0064573A" w:rsidRPr="00E13B1D" w:rsidRDefault="0064573A" w:rsidP="00BF7519">
            <w:pPr>
              <w:pStyle w:val="Normal1"/>
              <w:widowControl w:val="0"/>
              <w:spacing w:before="60" w:after="60" w:line="240" w:lineRule="auto"/>
              <w:contextualSpacing w:val="0"/>
              <w:rPr>
                <w:sz w:val="24"/>
              </w:rPr>
            </w:pPr>
            <w:r w:rsidRPr="00E13B1D">
              <w:rPr>
                <w:sz w:val="24"/>
              </w:rPr>
              <w:t>Date</w:t>
            </w:r>
          </w:p>
        </w:tc>
        <w:tc>
          <w:tcPr>
            <w:tcW w:w="1275" w:type="dxa"/>
            <w:shd w:val="clear" w:color="auto" w:fill="auto"/>
            <w:tcMar>
              <w:top w:w="100" w:type="dxa"/>
              <w:left w:w="100" w:type="dxa"/>
              <w:bottom w:w="100" w:type="dxa"/>
              <w:right w:w="100" w:type="dxa"/>
            </w:tcMar>
          </w:tcPr>
          <w:p w14:paraId="6C8C9D58" w14:textId="77777777" w:rsidR="0064573A" w:rsidRPr="00E13B1D" w:rsidRDefault="0064573A" w:rsidP="00BF7519">
            <w:pPr>
              <w:pStyle w:val="Normal1"/>
              <w:widowControl w:val="0"/>
              <w:spacing w:before="60" w:after="60" w:line="240" w:lineRule="auto"/>
              <w:contextualSpacing w:val="0"/>
              <w:rPr>
                <w:sz w:val="24"/>
              </w:rPr>
            </w:pPr>
            <w:r w:rsidRPr="00E13B1D">
              <w:rPr>
                <w:sz w:val="24"/>
              </w:rPr>
              <w:t>Version</w:t>
            </w:r>
          </w:p>
        </w:tc>
        <w:tc>
          <w:tcPr>
            <w:tcW w:w="4546" w:type="dxa"/>
            <w:shd w:val="clear" w:color="auto" w:fill="auto"/>
            <w:tcMar>
              <w:top w:w="100" w:type="dxa"/>
              <w:left w:w="100" w:type="dxa"/>
              <w:bottom w:w="100" w:type="dxa"/>
              <w:right w:w="100" w:type="dxa"/>
            </w:tcMar>
          </w:tcPr>
          <w:p w14:paraId="697D30ED" w14:textId="77777777" w:rsidR="0064573A" w:rsidRPr="00E13B1D" w:rsidRDefault="0064573A" w:rsidP="00BF7519">
            <w:pPr>
              <w:pStyle w:val="Normal1"/>
              <w:widowControl w:val="0"/>
              <w:spacing w:before="60" w:after="60" w:line="240" w:lineRule="auto"/>
              <w:contextualSpacing w:val="0"/>
              <w:rPr>
                <w:sz w:val="24"/>
                <w:lang w:val="en-GB"/>
              </w:rPr>
            </w:pPr>
            <w:r w:rsidRPr="00E13B1D">
              <w:rPr>
                <w:sz w:val="24"/>
                <w:lang w:val="en-GB"/>
              </w:rPr>
              <w:t>Consulted with</w:t>
            </w:r>
          </w:p>
        </w:tc>
      </w:tr>
      <w:tr w:rsidR="0064573A" w:rsidRPr="00E13B1D" w14:paraId="7250C2C5" w14:textId="77777777" w:rsidTr="00BF7519">
        <w:tc>
          <w:tcPr>
            <w:tcW w:w="3251" w:type="dxa"/>
            <w:shd w:val="clear" w:color="auto" w:fill="auto"/>
            <w:tcMar>
              <w:top w:w="100" w:type="dxa"/>
              <w:left w:w="100" w:type="dxa"/>
              <w:bottom w:w="100" w:type="dxa"/>
              <w:right w:w="100" w:type="dxa"/>
            </w:tcMar>
          </w:tcPr>
          <w:p w14:paraId="3DF14C52" w14:textId="125B9397" w:rsidR="0064573A" w:rsidRPr="00E13B1D" w:rsidRDefault="0032568C" w:rsidP="00BF7519">
            <w:pPr>
              <w:pStyle w:val="Normal1"/>
              <w:widowControl w:val="0"/>
              <w:spacing w:before="60" w:after="60" w:line="240" w:lineRule="auto"/>
              <w:contextualSpacing w:val="0"/>
              <w:rPr>
                <w:sz w:val="24"/>
                <w:lang w:val="en-GB"/>
              </w:rPr>
            </w:pPr>
            <w:r>
              <w:rPr>
                <w:sz w:val="24"/>
                <w:lang w:val="en-GB"/>
              </w:rPr>
              <w:t>22/09/2022</w:t>
            </w:r>
          </w:p>
        </w:tc>
        <w:tc>
          <w:tcPr>
            <w:tcW w:w="1275" w:type="dxa"/>
            <w:shd w:val="clear" w:color="auto" w:fill="auto"/>
            <w:tcMar>
              <w:top w:w="100" w:type="dxa"/>
              <w:left w:w="100" w:type="dxa"/>
              <w:bottom w:w="100" w:type="dxa"/>
              <w:right w:w="100" w:type="dxa"/>
            </w:tcMar>
          </w:tcPr>
          <w:p w14:paraId="6D09AD0C" w14:textId="207D7F7F" w:rsidR="0064573A" w:rsidRPr="00E13B1D" w:rsidRDefault="0032568C" w:rsidP="00BF7519">
            <w:pPr>
              <w:pStyle w:val="Normal1"/>
              <w:widowControl w:val="0"/>
              <w:spacing w:before="60" w:after="60" w:line="240" w:lineRule="auto"/>
              <w:contextualSpacing w:val="0"/>
              <w:rPr>
                <w:sz w:val="24"/>
                <w:lang w:val="en-GB"/>
              </w:rPr>
            </w:pPr>
            <w:r>
              <w:rPr>
                <w:sz w:val="24"/>
                <w:lang w:val="en-GB"/>
              </w:rPr>
              <w:t>1.0</w:t>
            </w:r>
          </w:p>
        </w:tc>
        <w:tc>
          <w:tcPr>
            <w:tcW w:w="4546" w:type="dxa"/>
            <w:shd w:val="clear" w:color="auto" w:fill="auto"/>
            <w:tcMar>
              <w:top w:w="100" w:type="dxa"/>
              <w:left w:w="100" w:type="dxa"/>
              <w:bottom w:w="100" w:type="dxa"/>
              <w:right w:w="100" w:type="dxa"/>
            </w:tcMar>
          </w:tcPr>
          <w:p w14:paraId="27408C3D" w14:textId="4DBE7FF7" w:rsidR="0064573A" w:rsidRPr="00E13B1D" w:rsidRDefault="0032568C" w:rsidP="00BF7519">
            <w:pPr>
              <w:pStyle w:val="Normal1"/>
              <w:widowControl w:val="0"/>
              <w:spacing w:before="60" w:after="60" w:line="240" w:lineRule="auto"/>
              <w:contextualSpacing w:val="0"/>
              <w:rPr>
                <w:sz w:val="24"/>
                <w:lang w:val="en-GB"/>
              </w:rPr>
            </w:pPr>
            <w:r>
              <w:rPr>
                <w:sz w:val="24"/>
                <w:lang w:val="en-GB"/>
              </w:rPr>
              <w:t>FEOC</w:t>
            </w:r>
          </w:p>
        </w:tc>
      </w:tr>
    </w:tbl>
    <w:p w14:paraId="1F4CEBC4" w14:textId="77777777" w:rsidR="0064573A" w:rsidRDefault="0064573A" w:rsidP="0064573A">
      <w:pPr>
        <w:spacing w:after="120" w:line="240" w:lineRule="auto"/>
        <w:rPr>
          <w:rFonts w:ascii="Arial" w:hAnsi="Arial" w:cs="Arial"/>
          <w:sz w:val="24"/>
        </w:rPr>
      </w:pPr>
    </w:p>
    <w:p w14:paraId="64FD7CC4" w14:textId="77777777" w:rsidR="0064573A" w:rsidRPr="00E13B1D" w:rsidRDefault="0064573A" w:rsidP="0064573A">
      <w:pPr>
        <w:pStyle w:val="Normal1"/>
        <w:spacing w:line="240" w:lineRule="auto"/>
        <w:contextualSpacing w:val="0"/>
        <w:rPr>
          <w:sz w:val="24"/>
          <w:lang w:val="en-GB"/>
        </w:rPr>
      </w:pPr>
      <w:r>
        <w:rPr>
          <w:sz w:val="24"/>
          <w:lang w:val="en-GB"/>
        </w:rPr>
        <w:t>Distribution</w:t>
      </w:r>
      <w:r w:rsidRPr="00E13B1D">
        <w:rPr>
          <w:sz w:val="24"/>
          <w:lang w:val="en-GB"/>
        </w:rPr>
        <w:t xml:space="preserve"> </w:t>
      </w:r>
      <w:r>
        <w:rPr>
          <w:sz w:val="24"/>
          <w:lang w:val="en-GB"/>
        </w:rPr>
        <w:t>History</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1"/>
        <w:gridCol w:w="1275"/>
        <w:gridCol w:w="4546"/>
      </w:tblGrid>
      <w:tr w:rsidR="0064573A" w:rsidRPr="00E13B1D" w14:paraId="3DBA823C" w14:textId="77777777" w:rsidTr="00BF7519">
        <w:tc>
          <w:tcPr>
            <w:tcW w:w="3251" w:type="dxa"/>
            <w:shd w:val="clear" w:color="auto" w:fill="auto"/>
            <w:tcMar>
              <w:top w:w="100" w:type="dxa"/>
              <w:left w:w="100" w:type="dxa"/>
              <w:bottom w:w="100" w:type="dxa"/>
              <w:right w:w="100" w:type="dxa"/>
            </w:tcMar>
          </w:tcPr>
          <w:p w14:paraId="6BA85EBD" w14:textId="77777777" w:rsidR="0064573A" w:rsidRPr="00E13B1D" w:rsidRDefault="0064573A" w:rsidP="00BF7519">
            <w:pPr>
              <w:pStyle w:val="Normal1"/>
              <w:widowControl w:val="0"/>
              <w:spacing w:before="60" w:after="60" w:line="240" w:lineRule="auto"/>
              <w:contextualSpacing w:val="0"/>
              <w:rPr>
                <w:sz w:val="24"/>
              </w:rPr>
            </w:pPr>
            <w:r w:rsidRPr="00E13B1D">
              <w:rPr>
                <w:sz w:val="24"/>
              </w:rPr>
              <w:t>Date</w:t>
            </w:r>
          </w:p>
        </w:tc>
        <w:tc>
          <w:tcPr>
            <w:tcW w:w="1275" w:type="dxa"/>
            <w:shd w:val="clear" w:color="auto" w:fill="auto"/>
            <w:tcMar>
              <w:top w:w="100" w:type="dxa"/>
              <w:left w:w="100" w:type="dxa"/>
              <w:bottom w:w="100" w:type="dxa"/>
              <w:right w:w="100" w:type="dxa"/>
            </w:tcMar>
          </w:tcPr>
          <w:p w14:paraId="35477C4F" w14:textId="77777777" w:rsidR="0064573A" w:rsidRPr="00E13B1D" w:rsidRDefault="0064573A" w:rsidP="00BF7519">
            <w:pPr>
              <w:pStyle w:val="Normal1"/>
              <w:widowControl w:val="0"/>
              <w:spacing w:before="60" w:after="60" w:line="240" w:lineRule="auto"/>
              <w:contextualSpacing w:val="0"/>
              <w:rPr>
                <w:sz w:val="24"/>
              </w:rPr>
            </w:pPr>
            <w:r w:rsidRPr="00E13B1D">
              <w:rPr>
                <w:sz w:val="24"/>
              </w:rPr>
              <w:t>Version</w:t>
            </w:r>
          </w:p>
        </w:tc>
        <w:tc>
          <w:tcPr>
            <w:tcW w:w="4546" w:type="dxa"/>
            <w:shd w:val="clear" w:color="auto" w:fill="auto"/>
            <w:tcMar>
              <w:top w:w="100" w:type="dxa"/>
              <w:left w:w="100" w:type="dxa"/>
              <w:bottom w:w="100" w:type="dxa"/>
              <w:right w:w="100" w:type="dxa"/>
            </w:tcMar>
          </w:tcPr>
          <w:p w14:paraId="1278C216" w14:textId="77777777" w:rsidR="0064573A" w:rsidRPr="00E13B1D" w:rsidRDefault="0064573A" w:rsidP="00BF7519">
            <w:pPr>
              <w:pStyle w:val="Normal1"/>
              <w:widowControl w:val="0"/>
              <w:spacing w:before="60" w:after="60" w:line="240" w:lineRule="auto"/>
              <w:contextualSpacing w:val="0"/>
              <w:rPr>
                <w:sz w:val="24"/>
                <w:lang w:val="en-GB"/>
              </w:rPr>
            </w:pPr>
            <w:r>
              <w:rPr>
                <w:sz w:val="24"/>
                <w:lang w:val="en-GB"/>
              </w:rPr>
              <w:t>Distributed to</w:t>
            </w:r>
          </w:p>
        </w:tc>
      </w:tr>
      <w:tr w:rsidR="0064573A" w:rsidRPr="00E13B1D" w14:paraId="3EF32FD7" w14:textId="77777777" w:rsidTr="00BF7519">
        <w:tc>
          <w:tcPr>
            <w:tcW w:w="3251" w:type="dxa"/>
            <w:shd w:val="clear" w:color="auto" w:fill="auto"/>
            <w:tcMar>
              <w:top w:w="100" w:type="dxa"/>
              <w:left w:w="100" w:type="dxa"/>
              <w:bottom w:w="100" w:type="dxa"/>
              <w:right w:w="100" w:type="dxa"/>
            </w:tcMar>
          </w:tcPr>
          <w:p w14:paraId="37231323" w14:textId="6566F54D" w:rsidR="0064573A" w:rsidRPr="00E13B1D" w:rsidRDefault="0064573A" w:rsidP="00BF7519">
            <w:pPr>
              <w:pStyle w:val="Normal1"/>
              <w:widowControl w:val="0"/>
              <w:spacing w:before="60" w:after="60" w:line="240" w:lineRule="auto"/>
              <w:contextualSpacing w:val="0"/>
              <w:rPr>
                <w:sz w:val="24"/>
                <w:lang w:val="en-GB"/>
              </w:rPr>
            </w:pPr>
          </w:p>
        </w:tc>
        <w:tc>
          <w:tcPr>
            <w:tcW w:w="1275" w:type="dxa"/>
            <w:shd w:val="clear" w:color="auto" w:fill="auto"/>
            <w:tcMar>
              <w:top w:w="100" w:type="dxa"/>
              <w:left w:w="100" w:type="dxa"/>
              <w:bottom w:w="100" w:type="dxa"/>
              <w:right w:w="100" w:type="dxa"/>
            </w:tcMar>
          </w:tcPr>
          <w:p w14:paraId="57A1E94D" w14:textId="65ED8DD4" w:rsidR="0064573A" w:rsidRPr="00E13B1D" w:rsidRDefault="0064573A" w:rsidP="00BF7519">
            <w:pPr>
              <w:pStyle w:val="Normal1"/>
              <w:widowControl w:val="0"/>
              <w:spacing w:before="60" w:after="60" w:line="240" w:lineRule="auto"/>
              <w:contextualSpacing w:val="0"/>
              <w:rPr>
                <w:sz w:val="24"/>
                <w:lang w:val="en-GB"/>
              </w:rPr>
            </w:pPr>
          </w:p>
        </w:tc>
        <w:tc>
          <w:tcPr>
            <w:tcW w:w="4546" w:type="dxa"/>
            <w:shd w:val="clear" w:color="auto" w:fill="auto"/>
            <w:tcMar>
              <w:top w:w="100" w:type="dxa"/>
              <w:left w:w="100" w:type="dxa"/>
              <w:bottom w:w="100" w:type="dxa"/>
              <w:right w:w="100" w:type="dxa"/>
            </w:tcMar>
          </w:tcPr>
          <w:p w14:paraId="798002AA" w14:textId="51091EC0" w:rsidR="0064573A" w:rsidRPr="00E13B1D" w:rsidRDefault="0064573A" w:rsidP="00BF7519">
            <w:pPr>
              <w:pStyle w:val="Normal1"/>
              <w:widowControl w:val="0"/>
              <w:spacing w:before="60" w:after="60" w:line="240" w:lineRule="auto"/>
              <w:contextualSpacing w:val="0"/>
              <w:rPr>
                <w:sz w:val="24"/>
                <w:lang w:val="en-GB"/>
              </w:rPr>
            </w:pPr>
          </w:p>
        </w:tc>
      </w:tr>
    </w:tbl>
    <w:p w14:paraId="127F1D28" w14:textId="77777777" w:rsidR="0064573A" w:rsidRDefault="0064573A" w:rsidP="0064573A">
      <w:pPr>
        <w:spacing w:after="120" w:line="240" w:lineRule="auto"/>
        <w:rPr>
          <w:rFonts w:ascii="Arial" w:hAnsi="Arial" w:cs="Arial"/>
          <w:sz w:val="24"/>
        </w:rPr>
      </w:pPr>
    </w:p>
    <w:p w14:paraId="318E3709" w14:textId="77777777" w:rsidR="0064573A" w:rsidRPr="00E13B1D" w:rsidRDefault="0064573A" w:rsidP="0064573A">
      <w:pPr>
        <w:pStyle w:val="Normal1"/>
        <w:spacing w:line="240" w:lineRule="auto"/>
        <w:contextualSpacing w:val="0"/>
        <w:rPr>
          <w:sz w:val="24"/>
          <w:lang w:val="en-GB"/>
        </w:rPr>
      </w:pPr>
      <w:r>
        <w:rPr>
          <w:sz w:val="24"/>
          <w:lang w:val="en-GB"/>
        </w:rPr>
        <w:t>Next Review Due</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1"/>
        <w:gridCol w:w="1275"/>
        <w:gridCol w:w="4546"/>
      </w:tblGrid>
      <w:tr w:rsidR="0064573A" w:rsidRPr="00E13B1D" w14:paraId="0123B2DA" w14:textId="77777777" w:rsidTr="00BF7519">
        <w:tc>
          <w:tcPr>
            <w:tcW w:w="3251" w:type="dxa"/>
            <w:shd w:val="clear" w:color="auto" w:fill="auto"/>
            <w:tcMar>
              <w:top w:w="100" w:type="dxa"/>
              <w:left w:w="100" w:type="dxa"/>
              <w:bottom w:w="100" w:type="dxa"/>
              <w:right w:w="100" w:type="dxa"/>
            </w:tcMar>
          </w:tcPr>
          <w:p w14:paraId="37E23441" w14:textId="77777777" w:rsidR="0064573A" w:rsidRPr="00E26083" w:rsidRDefault="0064573A" w:rsidP="00BF7519">
            <w:pPr>
              <w:pStyle w:val="Normal1"/>
              <w:widowControl w:val="0"/>
              <w:spacing w:before="60" w:after="60" w:line="240" w:lineRule="auto"/>
              <w:contextualSpacing w:val="0"/>
              <w:rPr>
                <w:sz w:val="24"/>
                <w:lang w:val="en-GB"/>
              </w:rPr>
            </w:pPr>
            <w:r>
              <w:rPr>
                <w:sz w:val="24"/>
                <w:lang w:val="en-GB"/>
              </w:rPr>
              <w:t>Review period</w:t>
            </w:r>
          </w:p>
        </w:tc>
        <w:tc>
          <w:tcPr>
            <w:tcW w:w="1275" w:type="dxa"/>
            <w:shd w:val="clear" w:color="auto" w:fill="auto"/>
            <w:tcMar>
              <w:top w:w="100" w:type="dxa"/>
              <w:left w:w="100" w:type="dxa"/>
              <w:bottom w:w="100" w:type="dxa"/>
              <w:right w:w="100" w:type="dxa"/>
            </w:tcMar>
          </w:tcPr>
          <w:p w14:paraId="7BFB6F3C" w14:textId="77777777" w:rsidR="0064573A" w:rsidRPr="00E13B1D" w:rsidRDefault="0064573A" w:rsidP="00BF7519">
            <w:pPr>
              <w:pStyle w:val="Normal1"/>
              <w:widowControl w:val="0"/>
              <w:spacing w:before="60" w:after="60" w:line="240" w:lineRule="auto"/>
              <w:contextualSpacing w:val="0"/>
              <w:rPr>
                <w:sz w:val="24"/>
              </w:rPr>
            </w:pPr>
            <w:r w:rsidRPr="00E13B1D">
              <w:rPr>
                <w:sz w:val="24"/>
              </w:rPr>
              <w:t>Version</w:t>
            </w:r>
          </w:p>
        </w:tc>
        <w:tc>
          <w:tcPr>
            <w:tcW w:w="4546" w:type="dxa"/>
            <w:shd w:val="clear" w:color="auto" w:fill="auto"/>
            <w:tcMar>
              <w:top w:w="100" w:type="dxa"/>
              <w:left w:w="100" w:type="dxa"/>
              <w:bottom w:w="100" w:type="dxa"/>
              <w:right w:w="100" w:type="dxa"/>
            </w:tcMar>
          </w:tcPr>
          <w:p w14:paraId="77E757E4" w14:textId="77777777" w:rsidR="0064573A" w:rsidRPr="00E13B1D" w:rsidRDefault="0064573A" w:rsidP="00BF7519">
            <w:pPr>
              <w:pStyle w:val="Normal1"/>
              <w:widowControl w:val="0"/>
              <w:spacing w:before="60" w:after="60" w:line="240" w:lineRule="auto"/>
              <w:contextualSpacing w:val="0"/>
              <w:rPr>
                <w:sz w:val="24"/>
                <w:lang w:val="en-GB"/>
              </w:rPr>
            </w:pPr>
            <w:r>
              <w:rPr>
                <w:sz w:val="24"/>
                <w:lang w:val="en-GB"/>
              </w:rPr>
              <w:t>Date review due</w:t>
            </w:r>
            <w:r w:rsidR="00EA50BC">
              <w:rPr>
                <w:sz w:val="24"/>
                <w:lang w:val="en-GB"/>
              </w:rPr>
              <w:t xml:space="preserve"> and by</w:t>
            </w:r>
            <w:r w:rsidR="004A3FB1">
              <w:rPr>
                <w:sz w:val="24"/>
                <w:lang w:val="en-GB"/>
              </w:rPr>
              <w:t xml:space="preserve"> whom</w:t>
            </w:r>
          </w:p>
        </w:tc>
      </w:tr>
      <w:tr w:rsidR="0064573A" w:rsidRPr="00E13B1D" w14:paraId="5C62F12E" w14:textId="77777777" w:rsidTr="00BF7519">
        <w:tc>
          <w:tcPr>
            <w:tcW w:w="3251" w:type="dxa"/>
            <w:shd w:val="clear" w:color="auto" w:fill="auto"/>
            <w:tcMar>
              <w:top w:w="100" w:type="dxa"/>
              <w:left w:w="100" w:type="dxa"/>
              <w:bottom w:w="100" w:type="dxa"/>
              <w:right w:w="100" w:type="dxa"/>
            </w:tcMar>
          </w:tcPr>
          <w:p w14:paraId="519113C2" w14:textId="77777777" w:rsidR="0064573A" w:rsidRPr="00E13B1D" w:rsidRDefault="0064573A" w:rsidP="00BF7519">
            <w:pPr>
              <w:pStyle w:val="Normal1"/>
              <w:widowControl w:val="0"/>
              <w:spacing w:before="60" w:after="60" w:line="240" w:lineRule="auto"/>
              <w:contextualSpacing w:val="0"/>
              <w:rPr>
                <w:sz w:val="24"/>
                <w:lang w:val="en-GB"/>
              </w:rPr>
            </w:pPr>
          </w:p>
        </w:tc>
        <w:tc>
          <w:tcPr>
            <w:tcW w:w="1275" w:type="dxa"/>
            <w:shd w:val="clear" w:color="auto" w:fill="auto"/>
            <w:tcMar>
              <w:top w:w="100" w:type="dxa"/>
              <w:left w:w="100" w:type="dxa"/>
              <w:bottom w:w="100" w:type="dxa"/>
              <w:right w:w="100" w:type="dxa"/>
            </w:tcMar>
          </w:tcPr>
          <w:p w14:paraId="45AFED04" w14:textId="77777777" w:rsidR="0064573A" w:rsidRPr="00E13B1D" w:rsidRDefault="0064573A" w:rsidP="00BF7519">
            <w:pPr>
              <w:pStyle w:val="Normal1"/>
              <w:widowControl w:val="0"/>
              <w:spacing w:before="60" w:after="60" w:line="240" w:lineRule="auto"/>
              <w:contextualSpacing w:val="0"/>
              <w:rPr>
                <w:sz w:val="24"/>
                <w:lang w:val="en-GB"/>
              </w:rPr>
            </w:pPr>
          </w:p>
        </w:tc>
        <w:tc>
          <w:tcPr>
            <w:tcW w:w="4546" w:type="dxa"/>
            <w:shd w:val="clear" w:color="auto" w:fill="auto"/>
            <w:tcMar>
              <w:top w:w="100" w:type="dxa"/>
              <w:left w:w="100" w:type="dxa"/>
              <w:bottom w:w="100" w:type="dxa"/>
              <w:right w:w="100" w:type="dxa"/>
            </w:tcMar>
          </w:tcPr>
          <w:p w14:paraId="09249B35" w14:textId="77777777" w:rsidR="0064573A" w:rsidRPr="00E13B1D" w:rsidRDefault="0064573A" w:rsidP="00BF7519">
            <w:pPr>
              <w:pStyle w:val="Normal1"/>
              <w:widowControl w:val="0"/>
              <w:spacing w:before="60" w:after="60" w:line="240" w:lineRule="auto"/>
              <w:contextualSpacing w:val="0"/>
              <w:rPr>
                <w:sz w:val="24"/>
                <w:lang w:val="en-GB"/>
              </w:rPr>
            </w:pPr>
          </w:p>
        </w:tc>
      </w:tr>
    </w:tbl>
    <w:p w14:paraId="5ACB6300" w14:textId="77777777" w:rsidR="0064573A" w:rsidRDefault="0064573A">
      <w:pPr>
        <w:rPr>
          <w:rFonts w:ascii="Arial" w:hAnsi="Arial" w:cs="Arial"/>
          <w:b/>
          <w:sz w:val="24"/>
          <w:szCs w:val="24"/>
        </w:rPr>
      </w:pPr>
      <w:r>
        <w:rPr>
          <w:rFonts w:ascii="Arial" w:hAnsi="Arial" w:cs="Arial"/>
          <w:b/>
          <w:sz w:val="24"/>
          <w:szCs w:val="24"/>
        </w:rPr>
        <w:br w:type="page"/>
      </w:r>
    </w:p>
    <w:p w14:paraId="47A1E96A" w14:textId="77777777" w:rsidR="0064573A" w:rsidRDefault="0064573A">
      <w:pPr>
        <w:rPr>
          <w:rFonts w:ascii="Arial" w:hAnsi="Arial" w:cs="Arial"/>
          <w:b/>
          <w:sz w:val="24"/>
          <w:szCs w:val="24"/>
        </w:rPr>
      </w:pPr>
    </w:p>
    <w:sdt>
      <w:sdtPr>
        <w:id w:val="1147551448"/>
        <w:docPartObj>
          <w:docPartGallery w:val="Table of Contents"/>
          <w:docPartUnique/>
        </w:docPartObj>
      </w:sdtPr>
      <w:sdtEndPr>
        <w:rPr>
          <w:b/>
          <w:bCs/>
          <w:noProof/>
        </w:rPr>
      </w:sdtEndPr>
      <w:sdtContent>
        <w:p w14:paraId="29846F5C" w14:textId="77777777" w:rsidR="0064573A" w:rsidRPr="00EF5A40" w:rsidRDefault="0064573A" w:rsidP="00F54822">
          <w:pPr>
            <w:pStyle w:val="Footer"/>
            <w:rPr>
              <w:rFonts w:ascii="Arial" w:hAnsi="Arial" w:cs="Arial"/>
              <w:sz w:val="24"/>
              <w:szCs w:val="24"/>
            </w:rPr>
          </w:pPr>
          <w:r w:rsidRPr="00EF5A40">
            <w:rPr>
              <w:rFonts w:ascii="Arial" w:hAnsi="Arial" w:cs="Arial"/>
              <w:sz w:val="24"/>
              <w:szCs w:val="24"/>
            </w:rPr>
            <w:t>Contents</w:t>
          </w:r>
        </w:p>
        <w:p w14:paraId="602EE31C" w14:textId="39D353CD" w:rsidR="00EF5A40" w:rsidRPr="00EF5A40" w:rsidRDefault="0064573A">
          <w:pPr>
            <w:pStyle w:val="TOC1"/>
            <w:rPr>
              <w:rFonts w:ascii="Arial" w:eastAsiaTheme="minorEastAsia" w:hAnsi="Arial" w:cs="Arial"/>
              <w:noProof/>
              <w:sz w:val="24"/>
              <w:szCs w:val="24"/>
              <w:lang w:eastAsia="en-GB"/>
            </w:rPr>
          </w:pPr>
          <w:r w:rsidRPr="00EF5A40">
            <w:rPr>
              <w:rFonts w:ascii="Arial" w:hAnsi="Arial" w:cs="Arial"/>
              <w:bCs/>
              <w:noProof/>
              <w:color w:val="000000" w:themeColor="text1"/>
              <w:sz w:val="24"/>
              <w:szCs w:val="24"/>
            </w:rPr>
            <w:fldChar w:fldCharType="begin"/>
          </w:r>
          <w:r w:rsidRPr="00EF5A40">
            <w:rPr>
              <w:rFonts w:ascii="Arial" w:hAnsi="Arial" w:cs="Arial"/>
              <w:bCs/>
              <w:noProof/>
              <w:color w:val="000000" w:themeColor="text1"/>
              <w:sz w:val="24"/>
              <w:szCs w:val="24"/>
            </w:rPr>
            <w:instrText xml:space="preserve"> TOC \o "1-3" \h \z \u </w:instrText>
          </w:r>
          <w:r w:rsidRPr="00EF5A40">
            <w:rPr>
              <w:rFonts w:ascii="Arial" w:hAnsi="Arial" w:cs="Arial"/>
              <w:bCs/>
              <w:noProof/>
              <w:color w:val="000000" w:themeColor="text1"/>
              <w:sz w:val="24"/>
              <w:szCs w:val="24"/>
            </w:rPr>
            <w:fldChar w:fldCharType="separate"/>
          </w:r>
          <w:hyperlink w:anchor="_Toc114170221" w:history="1">
            <w:r w:rsidR="00EF5A40" w:rsidRPr="00EF5A40">
              <w:rPr>
                <w:rStyle w:val="Hyperlink"/>
                <w:rFonts w:ascii="Arial" w:hAnsi="Arial" w:cs="Arial"/>
                <w:noProof/>
                <w:sz w:val="24"/>
                <w:szCs w:val="24"/>
              </w:rPr>
              <w:t>1</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Foreword and Vision Statement</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_Toc114170221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4</w:t>
            </w:r>
            <w:r w:rsidR="00EF5A40" w:rsidRPr="00EF5A40">
              <w:rPr>
                <w:rFonts w:ascii="Arial" w:hAnsi="Arial" w:cs="Arial"/>
                <w:noProof/>
                <w:webHidden/>
                <w:sz w:val="24"/>
                <w:szCs w:val="24"/>
              </w:rPr>
              <w:fldChar w:fldCharType="end"/>
            </w:r>
          </w:hyperlink>
        </w:p>
        <w:p w14:paraId="01CB9AEB" w14:textId="33D8A980" w:rsidR="00EF5A40" w:rsidRPr="00EF5A40" w:rsidRDefault="001B5BCA">
          <w:pPr>
            <w:pStyle w:val="TOC1"/>
            <w:rPr>
              <w:rFonts w:ascii="Arial" w:eastAsiaTheme="minorEastAsia" w:hAnsi="Arial" w:cs="Arial"/>
              <w:noProof/>
              <w:sz w:val="24"/>
              <w:szCs w:val="24"/>
              <w:lang w:eastAsia="en-GB"/>
            </w:rPr>
          </w:pPr>
          <w:hyperlink w:anchor="_Toc114170222" w:history="1">
            <w:r w:rsidR="00EF5A40" w:rsidRPr="00EF5A40">
              <w:rPr>
                <w:rStyle w:val="Hyperlink"/>
                <w:rFonts w:ascii="Arial" w:hAnsi="Arial" w:cs="Arial"/>
                <w:noProof/>
                <w:sz w:val="24"/>
                <w:szCs w:val="24"/>
              </w:rPr>
              <w:t>2</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Executive Summary</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_Toc114170222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5</w:t>
            </w:r>
            <w:r w:rsidR="00EF5A40" w:rsidRPr="00EF5A40">
              <w:rPr>
                <w:rFonts w:ascii="Arial" w:hAnsi="Arial" w:cs="Arial"/>
                <w:noProof/>
                <w:webHidden/>
                <w:sz w:val="24"/>
                <w:szCs w:val="24"/>
              </w:rPr>
              <w:fldChar w:fldCharType="end"/>
            </w:r>
          </w:hyperlink>
        </w:p>
        <w:p w14:paraId="7B02D281" w14:textId="51A4D914" w:rsidR="00EF5A40" w:rsidRPr="00EF5A40" w:rsidRDefault="001B5BCA">
          <w:pPr>
            <w:pStyle w:val="TOC2"/>
            <w:tabs>
              <w:tab w:val="left" w:pos="880"/>
              <w:tab w:val="right" w:leader="dot" w:pos="9016"/>
            </w:tabs>
            <w:rPr>
              <w:rFonts w:ascii="Arial" w:eastAsiaTheme="minorEastAsia" w:hAnsi="Arial" w:cs="Arial"/>
              <w:noProof/>
              <w:sz w:val="24"/>
              <w:szCs w:val="24"/>
              <w:lang w:eastAsia="en-GB"/>
            </w:rPr>
          </w:pPr>
          <w:hyperlink w:anchor="_Toc114170223" w:history="1">
            <w:r w:rsidR="00EF5A40" w:rsidRPr="00EF5A40">
              <w:rPr>
                <w:rStyle w:val="Hyperlink"/>
                <w:rFonts w:ascii="Arial" w:hAnsi="Arial" w:cs="Arial"/>
                <w:noProof/>
                <w:sz w:val="24"/>
                <w:szCs w:val="24"/>
              </w:rPr>
              <w:t>2.1</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Energy Strategy</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_Toc114170223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5</w:t>
            </w:r>
            <w:r w:rsidR="00EF5A40" w:rsidRPr="00EF5A40">
              <w:rPr>
                <w:rFonts w:ascii="Arial" w:hAnsi="Arial" w:cs="Arial"/>
                <w:noProof/>
                <w:webHidden/>
                <w:sz w:val="24"/>
                <w:szCs w:val="24"/>
              </w:rPr>
              <w:fldChar w:fldCharType="end"/>
            </w:r>
          </w:hyperlink>
        </w:p>
        <w:p w14:paraId="3652945B" w14:textId="6D89B8FD" w:rsidR="00EF5A40" w:rsidRPr="00EF5A40" w:rsidRDefault="001B5BCA">
          <w:pPr>
            <w:pStyle w:val="TOC2"/>
            <w:tabs>
              <w:tab w:val="left" w:pos="880"/>
              <w:tab w:val="right" w:leader="dot" w:pos="9016"/>
            </w:tabs>
            <w:rPr>
              <w:rFonts w:ascii="Arial" w:eastAsiaTheme="minorEastAsia" w:hAnsi="Arial" w:cs="Arial"/>
              <w:noProof/>
              <w:sz w:val="24"/>
              <w:szCs w:val="24"/>
              <w:lang w:eastAsia="en-GB"/>
            </w:rPr>
          </w:pPr>
          <w:hyperlink w:anchor="_Toc114170224" w:history="1">
            <w:r w:rsidR="00EF5A40" w:rsidRPr="00EF5A40">
              <w:rPr>
                <w:rStyle w:val="Hyperlink"/>
                <w:rFonts w:ascii="Arial" w:hAnsi="Arial" w:cs="Arial"/>
                <w:noProof/>
                <w:sz w:val="24"/>
                <w:szCs w:val="24"/>
              </w:rPr>
              <w:t>2.2</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Trust Target</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_Toc114170224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5</w:t>
            </w:r>
            <w:r w:rsidR="00EF5A40" w:rsidRPr="00EF5A40">
              <w:rPr>
                <w:rFonts w:ascii="Arial" w:hAnsi="Arial" w:cs="Arial"/>
                <w:noProof/>
                <w:webHidden/>
                <w:sz w:val="24"/>
                <w:szCs w:val="24"/>
              </w:rPr>
              <w:fldChar w:fldCharType="end"/>
            </w:r>
          </w:hyperlink>
        </w:p>
        <w:p w14:paraId="19122A6C" w14:textId="2258B232" w:rsidR="00EF5A40" w:rsidRPr="00EF5A40" w:rsidRDefault="001B5BCA">
          <w:pPr>
            <w:pStyle w:val="TOC2"/>
            <w:tabs>
              <w:tab w:val="left" w:pos="880"/>
              <w:tab w:val="right" w:leader="dot" w:pos="9016"/>
            </w:tabs>
            <w:rPr>
              <w:rFonts w:ascii="Arial" w:eastAsiaTheme="minorEastAsia" w:hAnsi="Arial" w:cs="Arial"/>
              <w:noProof/>
              <w:sz w:val="24"/>
              <w:szCs w:val="24"/>
              <w:lang w:eastAsia="en-GB"/>
            </w:rPr>
          </w:pPr>
          <w:hyperlink w:anchor="_Toc114170225" w:history="1">
            <w:r w:rsidR="00EF5A40" w:rsidRPr="00EF5A40">
              <w:rPr>
                <w:rStyle w:val="Hyperlink"/>
                <w:rFonts w:ascii="Arial" w:hAnsi="Arial" w:cs="Arial"/>
                <w:noProof/>
                <w:sz w:val="24"/>
                <w:szCs w:val="24"/>
              </w:rPr>
              <w:t>2.3</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Measuring the impact of actions – current position on the decarbonisation journey</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_Toc114170225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6</w:t>
            </w:r>
            <w:r w:rsidR="00EF5A40" w:rsidRPr="00EF5A40">
              <w:rPr>
                <w:rFonts w:ascii="Arial" w:hAnsi="Arial" w:cs="Arial"/>
                <w:noProof/>
                <w:webHidden/>
                <w:sz w:val="24"/>
                <w:szCs w:val="24"/>
              </w:rPr>
              <w:fldChar w:fldCharType="end"/>
            </w:r>
          </w:hyperlink>
        </w:p>
        <w:p w14:paraId="68F23006" w14:textId="14119557" w:rsidR="00EF5A40" w:rsidRPr="00EF5A40" w:rsidRDefault="001B5BCA">
          <w:pPr>
            <w:pStyle w:val="TOC2"/>
            <w:tabs>
              <w:tab w:val="left" w:pos="880"/>
              <w:tab w:val="right" w:leader="dot" w:pos="9016"/>
            </w:tabs>
            <w:rPr>
              <w:rFonts w:ascii="Arial" w:eastAsiaTheme="minorEastAsia" w:hAnsi="Arial" w:cs="Arial"/>
              <w:noProof/>
              <w:sz w:val="24"/>
              <w:szCs w:val="24"/>
              <w:lang w:eastAsia="en-GB"/>
            </w:rPr>
          </w:pPr>
          <w:hyperlink w:anchor="_Toc114170226" w:history="1">
            <w:r w:rsidR="00EF5A40" w:rsidRPr="00EF5A40">
              <w:rPr>
                <w:rStyle w:val="Hyperlink"/>
                <w:rFonts w:ascii="Arial" w:hAnsi="Arial" w:cs="Arial"/>
                <w:noProof/>
                <w:sz w:val="24"/>
                <w:szCs w:val="24"/>
              </w:rPr>
              <w:t>2.4</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Summary of actions completed</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_Toc114170226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6</w:t>
            </w:r>
            <w:r w:rsidR="00EF5A40" w:rsidRPr="00EF5A40">
              <w:rPr>
                <w:rFonts w:ascii="Arial" w:hAnsi="Arial" w:cs="Arial"/>
                <w:noProof/>
                <w:webHidden/>
                <w:sz w:val="24"/>
                <w:szCs w:val="24"/>
              </w:rPr>
              <w:fldChar w:fldCharType="end"/>
            </w:r>
          </w:hyperlink>
        </w:p>
        <w:p w14:paraId="2E293843" w14:textId="56D3C79F" w:rsidR="00EF5A40" w:rsidRPr="00EF5A40" w:rsidRDefault="001B5BCA">
          <w:pPr>
            <w:pStyle w:val="TOC1"/>
            <w:rPr>
              <w:rFonts w:ascii="Arial" w:eastAsiaTheme="minorEastAsia" w:hAnsi="Arial" w:cs="Arial"/>
              <w:noProof/>
              <w:sz w:val="24"/>
              <w:szCs w:val="24"/>
              <w:lang w:eastAsia="en-GB"/>
            </w:rPr>
          </w:pPr>
          <w:hyperlink w:anchor="_Toc114170227" w:history="1">
            <w:r w:rsidR="00EF5A40" w:rsidRPr="00EF5A40">
              <w:rPr>
                <w:rStyle w:val="Hyperlink"/>
                <w:rFonts w:ascii="Arial" w:hAnsi="Arial" w:cs="Arial"/>
                <w:noProof/>
                <w:sz w:val="24"/>
                <w:szCs w:val="24"/>
              </w:rPr>
              <w:t>3</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Carbon Reduction Commitment:</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_Toc114170227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7</w:t>
            </w:r>
            <w:r w:rsidR="00EF5A40" w:rsidRPr="00EF5A40">
              <w:rPr>
                <w:rFonts w:ascii="Arial" w:hAnsi="Arial" w:cs="Arial"/>
                <w:noProof/>
                <w:webHidden/>
                <w:sz w:val="24"/>
                <w:szCs w:val="24"/>
              </w:rPr>
              <w:fldChar w:fldCharType="end"/>
            </w:r>
          </w:hyperlink>
        </w:p>
        <w:p w14:paraId="7E603342" w14:textId="103470C1" w:rsidR="00EF5A40" w:rsidRPr="00EF5A40" w:rsidRDefault="001B5BCA">
          <w:pPr>
            <w:pStyle w:val="TOC2"/>
            <w:tabs>
              <w:tab w:val="left" w:pos="880"/>
              <w:tab w:val="right" w:leader="dot" w:pos="9016"/>
            </w:tabs>
            <w:rPr>
              <w:rFonts w:ascii="Arial" w:eastAsiaTheme="minorEastAsia" w:hAnsi="Arial" w:cs="Arial"/>
              <w:noProof/>
              <w:sz w:val="24"/>
              <w:szCs w:val="24"/>
              <w:lang w:eastAsia="en-GB"/>
            </w:rPr>
          </w:pPr>
          <w:hyperlink w:anchor="_Toc114170228" w:history="1">
            <w:r w:rsidR="00EF5A40" w:rsidRPr="00EF5A40">
              <w:rPr>
                <w:rStyle w:val="Hyperlink"/>
                <w:rFonts w:ascii="Arial" w:hAnsi="Arial" w:cs="Arial"/>
                <w:noProof/>
                <w:sz w:val="24"/>
                <w:szCs w:val="24"/>
              </w:rPr>
              <w:t>3.1</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Context</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_Toc114170228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7</w:t>
            </w:r>
            <w:r w:rsidR="00EF5A40" w:rsidRPr="00EF5A40">
              <w:rPr>
                <w:rFonts w:ascii="Arial" w:hAnsi="Arial" w:cs="Arial"/>
                <w:noProof/>
                <w:webHidden/>
                <w:sz w:val="24"/>
                <w:szCs w:val="24"/>
              </w:rPr>
              <w:fldChar w:fldCharType="end"/>
            </w:r>
          </w:hyperlink>
        </w:p>
        <w:p w14:paraId="4B9B71C6" w14:textId="19D111F5" w:rsidR="00EF5A40" w:rsidRPr="00EF5A40" w:rsidRDefault="001B5BCA">
          <w:pPr>
            <w:pStyle w:val="TOC2"/>
            <w:tabs>
              <w:tab w:val="left" w:pos="880"/>
              <w:tab w:val="right" w:leader="dot" w:pos="9016"/>
            </w:tabs>
            <w:rPr>
              <w:rFonts w:ascii="Arial" w:eastAsiaTheme="minorEastAsia" w:hAnsi="Arial" w:cs="Arial"/>
              <w:noProof/>
              <w:sz w:val="24"/>
              <w:szCs w:val="24"/>
              <w:lang w:eastAsia="en-GB"/>
            </w:rPr>
          </w:pPr>
          <w:hyperlink w:anchor="_Toc114170229" w:history="1">
            <w:r w:rsidR="00EF5A40" w:rsidRPr="00EF5A40">
              <w:rPr>
                <w:rStyle w:val="Hyperlink"/>
                <w:rFonts w:ascii="Arial" w:hAnsi="Arial" w:cs="Arial"/>
                <w:noProof/>
                <w:sz w:val="24"/>
                <w:szCs w:val="24"/>
              </w:rPr>
              <w:t>3.2</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Our Commitment</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_Toc114170229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8</w:t>
            </w:r>
            <w:r w:rsidR="00EF5A40" w:rsidRPr="00EF5A40">
              <w:rPr>
                <w:rFonts w:ascii="Arial" w:hAnsi="Arial" w:cs="Arial"/>
                <w:noProof/>
                <w:webHidden/>
                <w:sz w:val="24"/>
                <w:szCs w:val="24"/>
              </w:rPr>
              <w:fldChar w:fldCharType="end"/>
            </w:r>
          </w:hyperlink>
        </w:p>
        <w:p w14:paraId="25688A14" w14:textId="6D217F57" w:rsidR="00EF5A40" w:rsidRPr="00EF5A40" w:rsidRDefault="001B5BCA">
          <w:pPr>
            <w:pStyle w:val="TOC2"/>
            <w:tabs>
              <w:tab w:val="left" w:pos="880"/>
              <w:tab w:val="right" w:leader="dot" w:pos="9016"/>
            </w:tabs>
            <w:rPr>
              <w:rFonts w:ascii="Arial" w:eastAsiaTheme="minorEastAsia" w:hAnsi="Arial" w:cs="Arial"/>
              <w:noProof/>
              <w:sz w:val="24"/>
              <w:szCs w:val="24"/>
              <w:lang w:eastAsia="en-GB"/>
            </w:rPr>
          </w:pPr>
          <w:hyperlink w:anchor="_Toc114170230" w:history="1">
            <w:r w:rsidR="00EF5A40" w:rsidRPr="00EF5A40">
              <w:rPr>
                <w:rStyle w:val="Hyperlink"/>
                <w:rFonts w:ascii="Arial" w:hAnsi="Arial" w:cs="Arial"/>
                <w:noProof/>
                <w:sz w:val="24"/>
                <w:szCs w:val="24"/>
              </w:rPr>
              <w:t>3.3</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Statutory Requirements</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_Toc114170230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8</w:t>
            </w:r>
            <w:r w:rsidR="00EF5A40" w:rsidRPr="00EF5A40">
              <w:rPr>
                <w:rFonts w:ascii="Arial" w:hAnsi="Arial" w:cs="Arial"/>
                <w:noProof/>
                <w:webHidden/>
                <w:sz w:val="24"/>
                <w:szCs w:val="24"/>
              </w:rPr>
              <w:fldChar w:fldCharType="end"/>
            </w:r>
          </w:hyperlink>
        </w:p>
        <w:p w14:paraId="3685F03E" w14:textId="44AD5B90" w:rsidR="00EF5A40" w:rsidRPr="00EF5A40" w:rsidRDefault="001B5BCA">
          <w:pPr>
            <w:pStyle w:val="TOC1"/>
            <w:rPr>
              <w:rFonts w:ascii="Arial" w:eastAsiaTheme="minorEastAsia" w:hAnsi="Arial" w:cs="Arial"/>
              <w:noProof/>
              <w:sz w:val="24"/>
              <w:szCs w:val="24"/>
              <w:lang w:eastAsia="en-GB"/>
            </w:rPr>
          </w:pPr>
          <w:hyperlink w:anchor="_Toc114170231" w:history="1">
            <w:r w:rsidR="00EF5A40" w:rsidRPr="00EF5A40">
              <w:rPr>
                <w:rStyle w:val="Hyperlink"/>
                <w:rFonts w:ascii="Arial" w:hAnsi="Arial" w:cs="Arial"/>
                <w:noProof/>
                <w:sz w:val="24"/>
                <w:szCs w:val="24"/>
              </w:rPr>
              <w:t>4</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Decarbonisation Plan</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_Toc114170231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9</w:t>
            </w:r>
            <w:r w:rsidR="00EF5A40" w:rsidRPr="00EF5A40">
              <w:rPr>
                <w:rFonts w:ascii="Arial" w:hAnsi="Arial" w:cs="Arial"/>
                <w:noProof/>
                <w:webHidden/>
                <w:sz w:val="24"/>
                <w:szCs w:val="24"/>
              </w:rPr>
              <w:fldChar w:fldCharType="end"/>
            </w:r>
          </w:hyperlink>
        </w:p>
        <w:p w14:paraId="4B5E3F3B" w14:textId="2BBED3CB" w:rsidR="00EF5A40" w:rsidRPr="00EF5A40" w:rsidRDefault="001B5BCA">
          <w:pPr>
            <w:pStyle w:val="TOC2"/>
            <w:tabs>
              <w:tab w:val="left" w:pos="880"/>
              <w:tab w:val="right" w:leader="dot" w:pos="9016"/>
            </w:tabs>
            <w:rPr>
              <w:rFonts w:ascii="Arial" w:eastAsiaTheme="minorEastAsia" w:hAnsi="Arial" w:cs="Arial"/>
              <w:noProof/>
              <w:sz w:val="24"/>
              <w:szCs w:val="24"/>
              <w:lang w:eastAsia="en-GB"/>
            </w:rPr>
          </w:pPr>
          <w:hyperlink w:anchor="_Toc114170232" w:history="1">
            <w:r w:rsidR="00EF5A40" w:rsidRPr="00EF5A40">
              <w:rPr>
                <w:rStyle w:val="Hyperlink"/>
                <w:rFonts w:ascii="Arial" w:hAnsi="Arial" w:cs="Arial"/>
                <w:noProof/>
                <w:sz w:val="24"/>
                <w:szCs w:val="24"/>
              </w:rPr>
              <w:t>4.1</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The framework for delivery of this decarbonisation plan</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_Toc114170232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9</w:t>
            </w:r>
            <w:r w:rsidR="00EF5A40" w:rsidRPr="00EF5A40">
              <w:rPr>
                <w:rFonts w:ascii="Arial" w:hAnsi="Arial" w:cs="Arial"/>
                <w:noProof/>
                <w:webHidden/>
                <w:sz w:val="24"/>
                <w:szCs w:val="24"/>
              </w:rPr>
              <w:fldChar w:fldCharType="end"/>
            </w:r>
          </w:hyperlink>
        </w:p>
        <w:p w14:paraId="79ACA9EC" w14:textId="68442FA3" w:rsidR="00EF5A40" w:rsidRPr="00EF5A40" w:rsidRDefault="001B5BCA">
          <w:pPr>
            <w:pStyle w:val="TOC2"/>
            <w:tabs>
              <w:tab w:val="left" w:pos="880"/>
              <w:tab w:val="right" w:leader="dot" w:pos="9016"/>
            </w:tabs>
            <w:rPr>
              <w:rFonts w:ascii="Arial" w:eastAsiaTheme="minorEastAsia" w:hAnsi="Arial" w:cs="Arial"/>
              <w:noProof/>
              <w:sz w:val="24"/>
              <w:szCs w:val="24"/>
              <w:lang w:eastAsia="en-GB"/>
            </w:rPr>
          </w:pPr>
          <w:hyperlink w:anchor="_Toc114170233" w:history="1">
            <w:r w:rsidR="00EF5A40" w:rsidRPr="00EF5A40">
              <w:rPr>
                <w:rStyle w:val="Hyperlink"/>
                <w:rFonts w:ascii="Arial" w:hAnsi="Arial" w:cs="Arial"/>
                <w:noProof/>
                <w:sz w:val="24"/>
                <w:szCs w:val="24"/>
              </w:rPr>
              <w:t>4.2</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Decarbonisation Implementation Process</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_Toc114170233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10</w:t>
            </w:r>
            <w:r w:rsidR="00EF5A40" w:rsidRPr="00EF5A40">
              <w:rPr>
                <w:rFonts w:ascii="Arial" w:hAnsi="Arial" w:cs="Arial"/>
                <w:noProof/>
                <w:webHidden/>
                <w:sz w:val="24"/>
                <w:szCs w:val="24"/>
              </w:rPr>
              <w:fldChar w:fldCharType="end"/>
            </w:r>
          </w:hyperlink>
        </w:p>
        <w:p w14:paraId="6FFFCDB9" w14:textId="2CD1A6FC" w:rsidR="00EF5A40" w:rsidRPr="00EF5A40" w:rsidRDefault="001B5BCA">
          <w:pPr>
            <w:pStyle w:val="TOC2"/>
            <w:tabs>
              <w:tab w:val="left" w:pos="880"/>
              <w:tab w:val="right" w:leader="dot" w:pos="9016"/>
            </w:tabs>
            <w:rPr>
              <w:rFonts w:ascii="Arial" w:eastAsiaTheme="minorEastAsia" w:hAnsi="Arial" w:cs="Arial"/>
              <w:noProof/>
              <w:sz w:val="24"/>
              <w:szCs w:val="24"/>
              <w:lang w:eastAsia="en-GB"/>
            </w:rPr>
          </w:pPr>
          <w:hyperlink w:anchor="_Toc114170234" w:history="1">
            <w:r w:rsidR="00EF5A40" w:rsidRPr="00EF5A40">
              <w:rPr>
                <w:rStyle w:val="Hyperlink"/>
                <w:rFonts w:ascii="Arial" w:hAnsi="Arial" w:cs="Arial"/>
                <w:noProof/>
                <w:sz w:val="24"/>
                <w:szCs w:val="24"/>
              </w:rPr>
              <w:t>4.3</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Delivering carbon reduction strategy – identified projects and opportunities</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_Toc114170234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11</w:t>
            </w:r>
            <w:r w:rsidR="00EF5A40" w:rsidRPr="00EF5A40">
              <w:rPr>
                <w:rFonts w:ascii="Arial" w:hAnsi="Arial" w:cs="Arial"/>
                <w:noProof/>
                <w:webHidden/>
                <w:sz w:val="24"/>
                <w:szCs w:val="24"/>
              </w:rPr>
              <w:fldChar w:fldCharType="end"/>
            </w:r>
          </w:hyperlink>
        </w:p>
        <w:p w14:paraId="43843050" w14:textId="52DF1896" w:rsidR="00EF5A40" w:rsidRPr="00EF5A40" w:rsidRDefault="001B5BCA">
          <w:pPr>
            <w:pStyle w:val="TOC1"/>
            <w:rPr>
              <w:rFonts w:ascii="Arial" w:eastAsiaTheme="minorEastAsia" w:hAnsi="Arial" w:cs="Arial"/>
              <w:noProof/>
              <w:sz w:val="24"/>
              <w:szCs w:val="24"/>
              <w:lang w:eastAsia="en-GB"/>
            </w:rPr>
          </w:pPr>
          <w:hyperlink w:anchor="_Toc114170235" w:history="1">
            <w:r w:rsidR="00EF5A40" w:rsidRPr="00EF5A40">
              <w:rPr>
                <w:rStyle w:val="Hyperlink"/>
                <w:rFonts w:ascii="Arial" w:hAnsi="Arial" w:cs="Arial"/>
                <w:noProof/>
                <w:sz w:val="24"/>
                <w:szCs w:val="24"/>
              </w:rPr>
              <w:t>5</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Resources</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_Toc114170235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12</w:t>
            </w:r>
            <w:r w:rsidR="00EF5A40" w:rsidRPr="00EF5A40">
              <w:rPr>
                <w:rFonts w:ascii="Arial" w:hAnsi="Arial" w:cs="Arial"/>
                <w:noProof/>
                <w:webHidden/>
                <w:sz w:val="24"/>
                <w:szCs w:val="24"/>
              </w:rPr>
              <w:fldChar w:fldCharType="end"/>
            </w:r>
          </w:hyperlink>
        </w:p>
        <w:p w14:paraId="413E3B83" w14:textId="7A543EBA" w:rsidR="00EF5A40" w:rsidRPr="00EF5A40" w:rsidRDefault="001B5BCA">
          <w:pPr>
            <w:pStyle w:val="TOC2"/>
            <w:tabs>
              <w:tab w:val="left" w:pos="880"/>
              <w:tab w:val="right" w:leader="dot" w:pos="9016"/>
            </w:tabs>
            <w:rPr>
              <w:rFonts w:ascii="Arial" w:eastAsiaTheme="minorEastAsia" w:hAnsi="Arial" w:cs="Arial"/>
              <w:noProof/>
              <w:sz w:val="24"/>
              <w:szCs w:val="24"/>
              <w:lang w:eastAsia="en-GB"/>
            </w:rPr>
          </w:pPr>
          <w:hyperlink w:anchor="_Toc114170236" w:history="1">
            <w:r w:rsidR="00EF5A40" w:rsidRPr="00EF5A40">
              <w:rPr>
                <w:rStyle w:val="Hyperlink"/>
                <w:rFonts w:ascii="Arial" w:hAnsi="Arial" w:cs="Arial"/>
                <w:noProof/>
                <w:sz w:val="24"/>
                <w:szCs w:val="24"/>
              </w:rPr>
              <w:t>5.1</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Governance Structure</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_Toc114170236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12</w:t>
            </w:r>
            <w:r w:rsidR="00EF5A40" w:rsidRPr="00EF5A40">
              <w:rPr>
                <w:rFonts w:ascii="Arial" w:hAnsi="Arial" w:cs="Arial"/>
                <w:noProof/>
                <w:webHidden/>
                <w:sz w:val="24"/>
                <w:szCs w:val="24"/>
              </w:rPr>
              <w:fldChar w:fldCharType="end"/>
            </w:r>
          </w:hyperlink>
        </w:p>
        <w:p w14:paraId="0B7DF140" w14:textId="37D3B43C" w:rsidR="00EF5A40" w:rsidRPr="00EF5A40" w:rsidRDefault="001B5BCA">
          <w:pPr>
            <w:pStyle w:val="TOC2"/>
            <w:tabs>
              <w:tab w:val="left" w:pos="880"/>
              <w:tab w:val="right" w:leader="dot" w:pos="9016"/>
            </w:tabs>
            <w:rPr>
              <w:rFonts w:ascii="Arial" w:eastAsiaTheme="minorEastAsia" w:hAnsi="Arial" w:cs="Arial"/>
              <w:noProof/>
              <w:sz w:val="24"/>
              <w:szCs w:val="24"/>
              <w:lang w:eastAsia="en-GB"/>
            </w:rPr>
          </w:pPr>
          <w:hyperlink w:anchor="_Toc114170237" w:history="1">
            <w:r w:rsidR="00EF5A40" w:rsidRPr="00EF5A40">
              <w:rPr>
                <w:rStyle w:val="Hyperlink"/>
                <w:rFonts w:ascii="Arial" w:hAnsi="Arial" w:cs="Arial"/>
                <w:noProof/>
                <w:sz w:val="24"/>
                <w:szCs w:val="24"/>
              </w:rPr>
              <w:t>5.2</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Roles and Responsibilities</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_Toc114170237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13</w:t>
            </w:r>
            <w:r w:rsidR="00EF5A40" w:rsidRPr="00EF5A40">
              <w:rPr>
                <w:rFonts w:ascii="Arial" w:hAnsi="Arial" w:cs="Arial"/>
                <w:noProof/>
                <w:webHidden/>
                <w:sz w:val="24"/>
                <w:szCs w:val="24"/>
              </w:rPr>
              <w:fldChar w:fldCharType="end"/>
            </w:r>
          </w:hyperlink>
        </w:p>
        <w:p w14:paraId="799CE3DC" w14:textId="5EF2D8D2" w:rsidR="00EF5A40" w:rsidRPr="00EF5A40" w:rsidRDefault="001B5BCA">
          <w:pPr>
            <w:pStyle w:val="TOC2"/>
            <w:tabs>
              <w:tab w:val="left" w:pos="880"/>
              <w:tab w:val="right" w:leader="dot" w:pos="9016"/>
            </w:tabs>
            <w:rPr>
              <w:rFonts w:ascii="Arial" w:eastAsiaTheme="minorEastAsia" w:hAnsi="Arial" w:cs="Arial"/>
              <w:noProof/>
              <w:sz w:val="24"/>
              <w:szCs w:val="24"/>
              <w:lang w:eastAsia="en-GB"/>
            </w:rPr>
          </w:pPr>
          <w:hyperlink w:anchor="_Toc114170238" w:history="1">
            <w:r w:rsidR="00EF5A40" w:rsidRPr="00EF5A40">
              <w:rPr>
                <w:rStyle w:val="Hyperlink"/>
                <w:rFonts w:ascii="Arial" w:hAnsi="Arial" w:cs="Arial"/>
                <w:noProof/>
                <w:sz w:val="24"/>
                <w:szCs w:val="24"/>
              </w:rPr>
              <w:t>5.3</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Delivering carbon reduction strategy – Workstream Management Model</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_Toc114170238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14</w:t>
            </w:r>
            <w:r w:rsidR="00EF5A40" w:rsidRPr="00EF5A40">
              <w:rPr>
                <w:rFonts w:ascii="Arial" w:hAnsi="Arial" w:cs="Arial"/>
                <w:noProof/>
                <w:webHidden/>
                <w:sz w:val="24"/>
                <w:szCs w:val="24"/>
              </w:rPr>
              <w:fldChar w:fldCharType="end"/>
            </w:r>
          </w:hyperlink>
        </w:p>
        <w:p w14:paraId="12DE774B" w14:textId="4A85AED5" w:rsidR="00EF5A40" w:rsidRPr="00EF5A40" w:rsidRDefault="001B5BCA">
          <w:pPr>
            <w:pStyle w:val="TOC2"/>
            <w:tabs>
              <w:tab w:val="left" w:pos="880"/>
              <w:tab w:val="right" w:leader="dot" w:pos="9016"/>
            </w:tabs>
            <w:rPr>
              <w:rFonts w:ascii="Arial" w:eastAsiaTheme="minorEastAsia" w:hAnsi="Arial" w:cs="Arial"/>
              <w:noProof/>
              <w:sz w:val="24"/>
              <w:szCs w:val="24"/>
              <w:lang w:eastAsia="en-GB"/>
            </w:rPr>
          </w:pPr>
          <w:hyperlink w:anchor="_Toc114170239" w:history="1">
            <w:r w:rsidR="00EF5A40" w:rsidRPr="00EF5A40">
              <w:rPr>
                <w:rStyle w:val="Hyperlink"/>
                <w:rFonts w:ascii="Arial" w:hAnsi="Arial" w:cs="Arial"/>
                <w:noProof/>
                <w:sz w:val="24"/>
                <w:szCs w:val="24"/>
              </w:rPr>
              <w:t>5.4</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Internal Training Needs</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_Toc114170239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14</w:t>
            </w:r>
            <w:r w:rsidR="00EF5A40" w:rsidRPr="00EF5A40">
              <w:rPr>
                <w:rFonts w:ascii="Arial" w:hAnsi="Arial" w:cs="Arial"/>
                <w:noProof/>
                <w:webHidden/>
                <w:sz w:val="24"/>
                <w:szCs w:val="24"/>
              </w:rPr>
              <w:fldChar w:fldCharType="end"/>
            </w:r>
          </w:hyperlink>
        </w:p>
        <w:p w14:paraId="7B934232" w14:textId="75DA0FA6" w:rsidR="00EF5A40" w:rsidRPr="00EF5A40" w:rsidRDefault="001B5BCA">
          <w:pPr>
            <w:pStyle w:val="TOC2"/>
            <w:tabs>
              <w:tab w:val="left" w:pos="880"/>
              <w:tab w:val="right" w:leader="dot" w:pos="9016"/>
            </w:tabs>
            <w:rPr>
              <w:rFonts w:ascii="Arial" w:eastAsiaTheme="minorEastAsia" w:hAnsi="Arial" w:cs="Arial"/>
              <w:noProof/>
              <w:sz w:val="24"/>
              <w:szCs w:val="24"/>
              <w:lang w:eastAsia="en-GB"/>
            </w:rPr>
          </w:pPr>
          <w:hyperlink w:anchor="_Toc114170240" w:history="1">
            <w:r w:rsidR="00EF5A40" w:rsidRPr="00EF5A40">
              <w:rPr>
                <w:rStyle w:val="Hyperlink"/>
                <w:rFonts w:ascii="Arial" w:hAnsi="Arial" w:cs="Arial"/>
                <w:noProof/>
                <w:sz w:val="24"/>
                <w:szCs w:val="24"/>
              </w:rPr>
              <w:t>5.5</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Technical Advisory Support</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_Toc114170240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14</w:t>
            </w:r>
            <w:r w:rsidR="00EF5A40" w:rsidRPr="00EF5A40">
              <w:rPr>
                <w:rFonts w:ascii="Arial" w:hAnsi="Arial" w:cs="Arial"/>
                <w:noProof/>
                <w:webHidden/>
                <w:sz w:val="24"/>
                <w:szCs w:val="24"/>
              </w:rPr>
              <w:fldChar w:fldCharType="end"/>
            </w:r>
          </w:hyperlink>
        </w:p>
        <w:p w14:paraId="5B5F8314" w14:textId="000F0C06" w:rsidR="00EF5A40" w:rsidRPr="00EF5A40" w:rsidRDefault="001B5BCA">
          <w:pPr>
            <w:pStyle w:val="TOC1"/>
            <w:rPr>
              <w:rFonts w:ascii="Arial" w:eastAsiaTheme="minorEastAsia" w:hAnsi="Arial" w:cs="Arial"/>
              <w:noProof/>
              <w:sz w:val="24"/>
              <w:szCs w:val="24"/>
              <w:lang w:eastAsia="en-GB"/>
            </w:rPr>
          </w:pPr>
          <w:hyperlink w:anchor="_Toc114170241" w:history="1">
            <w:r w:rsidR="00EF5A40" w:rsidRPr="00EF5A40">
              <w:rPr>
                <w:rStyle w:val="Hyperlink"/>
                <w:rFonts w:ascii="Arial" w:hAnsi="Arial" w:cs="Arial"/>
                <w:noProof/>
                <w:sz w:val="24"/>
                <w:szCs w:val="24"/>
              </w:rPr>
              <w:t>6</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Funding</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_Toc114170241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15</w:t>
            </w:r>
            <w:r w:rsidR="00EF5A40" w:rsidRPr="00EF5A40">
              <w:rPr>
                <w:rFonts w:ascii="Arial" w:hAnsi="Arial" w:cs="Arial"/>
                <w:noProof/>
                <w:webHidden/>
                <w:sz w:val="24"/>
                <w:szCs w:val="24"/>
              </w:rPr>
              <w:fldChar w:fldCharType="end"/>
            </w:r>
          </w:hyperlink>
        </w:p>
        <w:p w14:paraId="7A348D79" w14:textId="2EC13719" w:rsidR="00EF5A40" w:rsidRPr="00EF5A40" w:rsidRDefault="001B5BCA">
          <w:pPr>
            <w:pStyle w:val="TOC2"/>
            <w:tabs>
              <w:tab w:val="left" w:pos="880"/>
              <w:tab w:val="right" w:leader="dot" w:pos="9016"/>
            </w:tabs>
            <w:rPr>
              <w:rFonts w:ascii="Arial" w:eastAsiaTheme="minorEastAsia" w:hAnsi="Arial" w:cs="Arial"/>
              <w:noProof/>
              <w:sz w:val="24"/>
              <w:szCs w:val="24"/>
              <w:lang w:eastAsia="en-GB"/>
            </w:rPr>
          </w:pPr>
          <w:hyperlink w:anchor="_Toc114170242" w:history="1">
            <w:r w:rsidR="00EF5A40" w:rsidRPr="00EF5A40">
              <w:rPr>
                <w:rStyle w:val="Hyperlink"/>
                <w:rFonts w:ascii="Arial" w:hAnsi="Arial" w:cs="Arial"/>
                <w:noProof/>
                <w:sz w:val="24"/>
                <w:szCs w:val="24"/>
              </w:rPr>
              <w:t>6.1</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The long term strategy</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_Toc114170242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15</w:t>
            </w:r>
            <w:r w:rsidR="00EF5A40" w:rsidRPr="00EF5A40">
              <w:rPr>
                <w:rFonts w:ascii="Arial" w:hAnsi="Arial" w:cs="Arial"/>
                <w:noProof/>
                <w:webHidden/>
                <w:sz w:val="24"/>
                <w:szCs w:val="24"/>
              </w:rPr>
              <w:fldChar w:fldCharType="end"/>
            </w:r>
          </w:hyperlink>
        </w:p>
        <w:p w14:paraId="4D245AC9" w14:textId="6A6EE44F" w:rsidR="00EF5A40" w:rsidRPr="00EF5A40" w:rsidRDefault="001B5BCA">
          <w:pPr>
            <w:pStyle w:val="TOC2"/>
            <w:tabs>
              <w:tab w:val="left" w:pos="880"/>
              <w:tab w:val="right" w:leader="dot" w:pos="9016"/>
            </w:tabs>
            <w:rPr>
              <w:rFonts w:ascii="Arial" w:eastAsiaTheme="minorEastAsia" w:hAnsi="Arial" w:cs="Arial"/>
              <w:noProof/>
              <w:sz w:val="24"/>
              <w:szCs w:val="24"/>
              <w:lang w:eastAsia="en-GB"/>
            </w:rPr>
          </w:pPr>
          <w:hyperlink w:anchor="_Toc114170243" w:history="1">
            <w:r w:rsidR="00EF5A40" w:rsidRPr="00EF5A40">
              <w:rPr>
                <w:rStyle w:val="Hyperlink"/>
                <w:rFonts w:ascii="Arial" w:hAnsi="Arial" w:cs="Arial"/>
                <w:noProof/>
                <w:sz w:val="24"/>
                <w:szCs w:val="24"/>
              </w:rPr>
              <w:t>6.2</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Funding assessment</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_Toc114170243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15</w:t>
            </w:r>
            <w:r w:rsidR="00EF5A40" w:rsidRPr="00EF5A40">
              <w:rPr>
                <w:rFonts w:ascii="Arial" w:hAnsi="Arial" w:cs="Arial"/>
                <w:noProof/>
                <w:webHidden/>
                <w:sz w:val="24"/>
                <w:szCs w:val="24"/>
              </w:rPr>
              <w:fldChar w:fldCharType="end"/>
            </w:r>
          </w:hyperlink>
        </w:p>
        <w:p w14:paraId="06BBA65E" w14:textId="72B37885" w:rsidR="00EF5A40" w:rsidRPr="00EF5A40" w:rsidRDefault="001B5BCA">
          <w:pPr>
            <w:pStyle w:val="TOC2"/>
            <w:tabs>
              <w:tab w:val="left" w:pos="880"/>
              <w:tab w:val="right" w:leader="dot" w:pos="9016"/>
            </w:tabs>
            <w:rPr>
              <w:rFonts w:ascii="Arial" w:eastAsiaTheme="minorEastAsia" w:hAnsi="Arial" w:cs="Arial"/>
              <w:noProof/>
              <w:sz w:val="24"/>
              <w:szCs w:val="24"/>
              <w:lang w:eastAsia="en-GB"/>
            </w:rPr>
          </w:pPr>
          <w:hyperlink w:anchor="_Toc114170244" w:history="1">
            <w:r w:rsidR="00EF5A40" w:rsidRPr="00EF5A40">
              <w:rPr>
                <w:rStyle w:val="Hyperlink"/>
                <w:rFonts w:ascii="Arial" w:hAnsi="Arial" w:cs="Arial"/>
                <w:noProof/>
                <w:sz w:val="24"/>
                <w:szCs w:val="24"/>
              </w:rPr>
              <w:t>6.3</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Funding options</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_Toc114170244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16</w:t>
            </w:r>
            <w:r w:rsidR="00EF5A40" w:rsidRPr="00EF5A40">
              <w:rPr>
                <w:rFonts w:ascii="Arial" w:hAnsi="Arial" w:cs="Arial"/>
                <w:noProof/>
                <w:webHidden/>
                <w:sz w:val="24"/>
                <w:szCs w:val="24"/>
              </w:rPr>
              <w:fldChar w:fldCharType="end"/>
            </w:r>
          </w:hyperlink>
        </w:p>
        <w:p w14:paraId="67EA135A" w14:textId="4677C76E" w:rsidR="00EF5A40" w:rsidRPr="00EF5A40" w:rsidRDefault="001B5BCA">
          <w:pPr>
            <w:pStyle w:val="TOC1"/>
            <w:rPr>
              <w:rFonts w:ascii="Arial" w:eastAsiaTheme="minorEastAsia" w:hAnsi="Arial" w:cs="Arial"/>
              <w:noProof/>
              <w:sz w:val="24"/>
              <w:szCs w:val="24"/>
              <w:lang w:eastAsia="en-GB"/>
            </w:rPr>
          </w:pPr>
          <w:hyperlink w:anchor="_Toc114170245" w:history="1">
            <w:r w:rsidR="00EF5A40" w:rsidRPr="00EF5A40">
              <w:rPr>
                <w:rStyle w:val="Hyperlink"/>
                <w:rFonts w:ascii="Arial" w:hAnsi="Arial" w:cs="Arial"/>
                <w:noProof/>
                <w:sz w:val="24"/>
                <w:szCs w:val="24"/>
              </w:rPr>
              <w:t>7</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Next Steps/Roadmap</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_Toc114170245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17</w:t>
            </w:r>
            <w:r w:rsidR="00EF5A40" w:rsidRPr="00EF5A40">
              <w:rPr>
                <w:rFonts w:ascii="Arial" w:hAnsi="Arial" w:cs="Arial"/>
                <w:noProof/>
                <w:webHidden/>
                <w:sz w:val="24"/>
                <w:szCs w:val="24"/>
              </w:rPr>
              <w:fldChar w:fldCharType="end"/>
            </w:r>
          </w:hyperlink>
        </w:p>
        <w:p w14:paraId="19F54E2C" w14:textId="287C8AB6" w:rsidR="00EF5A40" w:rsidRPr="00EF5A40" w:rsidRDefault="001B5BCA">
          <w:pPr>
            <w:pStyle w:val="TOC2"/>
            <w:tabs>
              <w:tab w:val="left" w:pos="880"/>
              <w:tab w:val="right" w:leader="dot" w:pos="9016"/>
            </w:tabs>
            <w:rPr>
              <w:rFonts w:ascii="Arial" w:eastAsiaTheme="minorEastAsia" w:hAnsi="Arial" w:cs="Arial"/>
              <w:noProof/>
              <w:sz w:val="24"/>
              <w:szCs w:val="24"/>
              <w:lang w:eastAsia="en-GB"/>
            </w:rPr>
          </w:pPr>
          <w:hyperlink w:anchor="_Toc114170246" w:history="1">
            <w:r w:rsidR="00EF5A40" w:rsidRPr="00EF5A40">
              <w:rPr>
                <w:rStyle w:val="Hyperlink"/>
                <w:rFonts w:ascii="Arial" w:hAnsi="Arial" w:cs="Arial"/>
                <w:noProof/>
                <w:sz w:val="24"/>
                <w:szCs w:val="24"/>
              </w:rPr>
              <w:t>7.1</w:t>
            </w:r>
            <w:r w:rsidR="00EF5A40" w:rsidRPr="00EF5A40">
              <w:rPr>
                <w:rFonts w:ascii="Arial" w:eastAsiaTheme="minorEastAsia" w:hAnsi="Arial" w:cs="Arial"/>
                <w:noProof/>
                <w:sz w:val="24"/>
                <w:szCs w:val="24"/>
                <w:lang w:eastAsia="en-GB"/>
              </w:rPr>
              <w:tab/>
            </w:r>
            <w:r w:rsidR="00EF5A40" w:rsidRPr="00EF5A40">
              <w:rPr>
                <w:rStyle w:val="Hyperlink"/>
                <w:rFonts w:ascii="Arial" w:hAnsi="Arial" w:cs="Arial"/>
                <w:noProof/>
                <w:sz w:val="24"/>
                <w:szCs w:val="24"/>
              </w:rPr>
              <w:t>Upcoming actions</w:t>
            </w:r>
            <w:r w:rsidR="00EF5A40" w:rsidRPr="00EF5A40">
              <w:rPr>
                <w:rFonts w:ascii="Arial" w:hAnsi="Arial" w:cs="Arial"/>
                <w:noProof/>
                <w:webHidden/>
                <w:sz w:val="24"/>
                <w:szCs w:val="24"/>
              </w:rPr>
              <w:tab/>
            </w:r>
            <w:r w:rsidR="00EF5A40" w:rsidRPr="00EF5A40">
              <w:rPr>
                <w:rFonts w:ascii="Arial" w:hAnsi="Arial" w:cs="Arial"/>
                <w:noProof/>
                <w:webHidden/>
                <w:sz w:val="24"/>
                <w:szCs w:val="24"/>
              </w:rPr>
              <w:fldChar w:fldCharType="begin"/>
            </w:r>
            <w:r w:rsidR="00EF5A40" w:rsidRPr="00EF5A40">
              <w:rPr>
                <w:rFonts w:ascii="Arial" w:hAnsi="Arial" w:cs="Arial"/>
                <w:noProof/>
                <w:webHidden/>
                <w:sz w:val="24"/>
                <w:szCs w:val="24"/>
              </w:rPr>
              <w:instrText xml:space="preserve"> PAGEREF _Toc114170246 \h </w:instrText>
            </w:r>
            <w:r w:rsidR="00EF5A40" w:rsidRPr="00EF5A40">
              <w:rPr>
                <w:rFonts w:ascii="Arial" w:hAnsi="Arial" w:cs="Arial"/>
                <w:noProof/>
                <w:webHidden/>
                <w:sz w:val="24"/>
                <w:szCs w:val="24"/>
              </w:rPr>
            </w:r>
            <w:r w:rsidR="00EF5A40" w:rsidRPr="00EF5A40">
              <w:rPr>
                <w:rFonts w:ascii="Arial" w:hAnsi="Arial" w:cs="Arial"/>
                <w:noProof/>
                <w:webHidden/>
                <w:sz w:val="24"/>
                <w:szCs w:val="24"/>
              </w:rPr>
              <w:fldChar w:fldCharType="separate"/>
            </w:r>
            <w:r w:rsidR="00EF5A40" w:rsidRPr="00EF5A40">
              <w:rPr>
                <w:rFonts w:ascii="Arial" w:hAnsi="Arial" w:cs="Arial"/>
                <w:noProof/>
                <w:webHidden/>
                <w:sz w:val="24"/>
                <w:szCs w:val="24"/>
              </w:rPr>
              <w:t>17</w:t>
            </w:r>
            <w:r w:rsidR="00EF5A40" w:rsidRPr="00EF5A40">
              <w:rPr>
                <w:rFonts w:ascii="Arial" w:hAnsi="Arial" w:cs="Arial"/>
                <w:noProof/>
                <w:webHidden/>
                <w:sz w:val="24"/>
                <w:szCs w:val="24"/>
              </w:rPr>
              <w:fldChar w:fldCharType="end"/>
            </w:r>
          </w:hyperlink>
        </w:p>
        <w:p w14:paraId="62EA4041" w14:textId="72C4A5BA" w:rsidR="0064573A" w:rsidRDefault="0064573A" w:rsidP="0064573A">
          <w:pPr>
            <w:spacing w:after="200" w:line="240" w:lineRule="auto"/>
            <w:jc w:val="both"/>
          </w:pPr>
          <w:r w:rsidRPr="00EF5A40">
            <w:rPr>
              <w:rFonts w:ascii="Arial" w:hAnsi="Arial" w:cs="Arial"/>
              <w:bCs/>
              <w:noProof/>
              <w:color w:val="000000" w:themeColor="text1"/>
              <w:sz w:val="24"/>
              <w:szCs w:val="24"/>
            </w:rPr>
            <w:fldChar w:fldCharType="end"/>
          </w:r>
        </w:p>
      </w:sdtContent>
    </w:sdt>
    <w:p w14:paraId="4FAFE95C" w14:textId="77777777" w:rsidR="00F8483A" w:rsidRDefault="00F8483A">
      <w:pPr>
        <w:rPr>
          <w:rFonts w:ascii="Arial" w:hAnsi="Arial" w:cs="Arial"/>
          <w:b/>
          <w:sz w:val="24"/>
          <w:szCs w:val="24"/>
        </w:rPr>
      </w:pPr>
      <w:r>
        <w:rPr>
          <w:rFonts w:ascii="Arial" w:hAnsi="Arial" w:cs="Arial"/>
          <w:b/>
          <w:sz w:val="24"/>
          <w:szCs w:val="24"/>
        </w:rPr>
        <w:br w:type="page"/>
      </w:r>
    </w:p>
    <w:p w14:paraId="2A984FE8" w14:textId="1885D237" w:rsidR="00115278" w:rsidRPr="00272FF2" w:rsidRDefault="002C1B48" w:rsidP="00715297">
      <w:pPr>
        <w:pStyle w:val="Heading1"/>
      </w:pPr>
      <w:bookmarkStart w:id="1" w:name="_Toc114170221"/>
      <w:r w:rsidRPr="00715297">
        <w:lastRenderedPageBreak/>
        <w:t>Foreword</w:t>
      </w:r>
      <w:r w:rsidRPr="00272FF2">
        <w:t xml:space="preserve"> and Vision Statement</w:t>
      </w:r>
      <w:bookmarkEnd w:id="1"/>
    </w:p>
    <w:p w14:paraId="61DFD798" w14:textId="78228DC4" w:rsidR="00ED573D" w:rsidRDefault="00ED573D" w:rsidP="005549FC">
      <w:pPr>
        <w:jc w:val="both"/>
        <w:rPr>
          <w:rFonts w:ascii="Arial" w:hAnsi="Arial" w:cs="Arial"/>
          <w:sz w:val="24"/>
        </w:rPr>
      </w:pPr>
      <w:r>
        <w:rPr>
          <w:rFonts w:ascii="Arial" w:hAnsi="Arial" w:cs="Arial"/>
          <w:sz w:val="24"/>
        </w:rPr>
        <w:t xml:space="preserve">The </w:t>
      </w:r>
      <w:r w:rsidR="005549FC">
        <w:rPr>
          <w:rFonts w:ascii="Arial" w:hAnsi="Arial" w:cs="Arial"/>
          <w:sz w:val="24"/>
        </w:rPr>
        <w:t>Trust’s vision is</w:t>
      </w:r>
      <w:r w:rsidR="00911110">
        <w:rPr>
          <w:rFonts w:ascii="Arial" w:hAnsi="Arial" w:cs="Arial"/>
          <w:sz w:val="24"/>
        </w:rPr>
        <w:t>:</w:t>
      </w:r>
    </w:p>
    <w:p w14:paraId="02EEA434" w14:textId="23A2E8C9" w:rsidR="00D314E7" w:rsidRPr="005549FC" w:rsidRDefault="00ED573D" w:rsidP="005549FC">
      <w:pPr>
        <w:jc w:val="both"/>
        <w:rPr>
          <w:rFonts w:ascii="Arial" w:hAnsi="Arial" w:cs="Arial"/>
          <w:b/>
          <w:bCs/>
          <w:sz w:val="24"/>
        </w:rPr>
      </w:pPr>
      <w:r w:rsidRPr="005549FC">
        <w:rPr>
          <w:rFonts w:ascii="Arial" w:hAnsi="Arial" w:cs="Arial"/>
          <w:b/>
          <w:bCs/>
          <w:sz w:val="24"/>
        </w:rPr>
        <w:t>“</w:t>
      </w:r>
      <w:r w:rsidR="00D314E7" w:rsidRPr="005549FC">
        <w:rPr>
          <w:rFonts w:ascii="Arial" w:hAnsi="Arial" w:cs="Arial"/>
          <w:b/>
          <w:bCs/>
          <w:sz w:val="24"/>
        </w:rPr>
        <w:t>Dynamic, empowered learners who thrive and lead in their communities: locally, nationally and globally</w:t>
      </w:r>
      <w:r w:rsidRPr="005549FC">
        <w:rPr>
          <w:rFonts w:ascii="Arial" w:hAnsi="Arial" w:cs="Arial"/>
          <w:b/>
          <w:bCs/>
          <w:sz w:val="24"/>
        </w:rPr>
        <w:t>”</w:t>
      </w:r>
    </w:p>
    <w:p w14:paraId="54D21603" w14:textId="1C7EB063" w:rsidR="008C3A6B" w:rsidRPr="00ED573D" w:rsidRDefault="008C3A6B" w:rsidP="005549FC">
      <w:pPr>
        <w:jc w:val="both"/>
        <w:rPr>
          <w:rFonts w:ascii="Arial" w:hAnsi="Arial" w:cs="Arial"/>
          <w:sz w:val="24"/>
        </w:rPr>
      </w:pPr>
      <w:r>
        <w:rPr>
          <w:rFonts w:ascii="Arial" w:hAnsi="Arial" w:cs="Arial"/>
          <w:sz w:val="24"/>
        </w:rPr>
        <w:t xml:space="preserve">The impact of climate change across the world </w:t>
      </w:r>
      <w:r w:rsidR="00026C5B">
        <w:rPr>
          <w:rFonts w:ascii="Arial" w:hAnsi="Arial" w:cs="Arial"/>
          <w:sz w:val="24"/>
        </w:rPr>
        <w:t>is the single biggest threat to our pupils and young people thriving as they grow into adults.</w:t>
      </w:r>
    </w:p>
    <w:p w14:paraId="5DC9F153" w14:textId="2B421C2E" w:rsidR="00115278" w:rsidRPr="00911110" w:rsidRDefault="00D27D89" w:rsidP="005549FC">
      <w:pPr>
        <w:jc w:val="both"/>
        <w:rPr>
          <w:rFonts w:ascii="Arial" w:hAnsi="Arial" w:cs="Arial"/>
          <w:sz w:val="24"/>
        </w:rPr>
      </w:pPr>
      <w:r w:rsidRPr="00911110">
        <w:rPr>
          <w:rFonts w:ascii="Arial" w:hAnsi="Arial" w:cs="Arial"/>
          <w:sz w:val="24"/>
        </w:rPr>
        <w:t xml:space="preserve">This is the first </w:t>
      </w:r>
      <w:r w:rsidR="009315B6" w:rsidRPr="00911110">
        <w:rPr>
          <w:rFonts w:ascii="Arial" w:hAnsi="Arial" w:cs="Arial"/>
          <w:sz w:val="24"/>
        </w:rPr>
        <w:t xml:space="preserve">Energy Strategy for Anglian Learning and marks the start of a </w:t>
      </w:r>
      <w:r w:rsidR="00911110" w:rsidRPr="00911110">
        <w:rPr>
          <w:rFonts w:ascii="Arial" w:hAnsi="Arial" w:cs="Arial"/>
          <w:sz w:val="24"/>
        </w:rPr>
        <w:t xml:space="preserve">long but very important journey for the Trust.  </w:t>
      </w:r>
      <w:r w:rsidR="00911110">
        <w:rPr>
          <w:rFonts w:ascii="Arial" w:hAnsi="Arial" w:cs="Arial"/>
          <w:sz w:val="24"/>
        </w:rPr>
        <w:t>Th</w:t>
      </w:r>
      <w:r w:rsidR="00FE5221">
        <w:rPr>
          <w:rFonts w:ascii="Arial" w:hAnsi="Arial" w:cs="Arial"/>
          <w:sz w:val="24"/>
        </w:rPr>
        <w:t xml:space="preserve">is strategy will be reviewed annually to ensure that the whole organisation is engaged </w:t>
      </w:r>
      <w:r w:rsidR="005549FC">
        <w:rPr>
          <w:rFonts w:ascii="Arial" w:hAnsi="Arial" w:cs="Arial"/>
          <w:sz w:val="24"/>
        </w:rPr>
        <w:t>in reducing our carbon footprint across all aspects of our operations.</w:t>
      </w:r>
      <w:r w:rsidR="00115278" w:rsidRPr="00911110">
        <w:rPr>
          <w:rFonts w:ascii="Arial" w:hAnsi="Arial" w:cs="Arial"/>
          <w:sz w:val="24"/>
        </w:rPr>
        <w:br w:type="page"/>
      </w:r>
    </w:p>
    <w:p w14:paraId="273BF198" w14:textId="143BA202" w:rsidR="00D6004C" w:rsidRPr="00DE3DB0" w:rsidRDefault="00A92677" w:rsidP="00F54822">
      <w:pPr>
        <w:pStyle w:val="Heading1"/>
      </w:pPr>
      <w:bookmarkStart w:id="2" w:name="_Toc114170222"/>
      <w:r w:rsidRPr="00DE3DB0">
        <w:lastRenderedPageBreak/>
        <w:t xml:space="preserve">Executive </w:t>
      </w:r>
      <w:r w:rsidRPr="00F54822">
        <w:t>Summary</w:t>
      </w:r>
      <w:bookmarkEnd w:id="2"/>
    </w:p>
    <w:p w14:paraId="4D2E441E" w14:textId="77777777" w:rsidR="00734F75" w:rsidRDefault="00734F75" w:rsidP="00734F75">
      <w:pPr>
        <w:pStyle w:val="Heading2"/>
      </w:pPr>
      <w:bookmarkStart w:id="3" w:name="_Toc114170223"/>
      <w:r>
        <w:t>Energy Strategy</w:t>
      </w:r>
      <w:bookmarkEnd w:id="3"/>
    </w:p>
    <w:p w14:paraId="7E3E9E1D" w14:textId="77777777" w:rsidR="000E6C04" w:rsidRDefault="008777AA" w:rsidP="00256F14">
      <w:pPr>
        <w:ind w:left="357"/>
        <w:jc w:val="both"/>
        <w:rPr>
          <w:rFonts w:ascii="Arial" w:hAnsi="Arial" w:cs="Arial"/>
          <w:sz w:val="24"/>
        </w:rPr>
      </w:pPr>
      <w:r>
        <w:rPr>
          <w:rFonts w:ascii="Arial" w:hAnsi="Arial" w:cs="Arial"/>
          <w:sz w:val="24"/>
        </w:rPr>
        <w:t xml:space="preserve">Climate change is a major cause of concern for pupils, staff and parents.  The Trust has a moral obligation </w:t>
      </w:r>
      <w:r w:rsidR="000E6C04">
        <w:rPr>
          <w:rFonts w:ascii="Arial" w:hAnsi="Arial" w:cs="Arial"/>
          <w:sz w:val="24"/>
        </w:rPr>
        <w:t>to make improvements in energy efficiency and drive reductions in carbon emissions where possible.</w:t>
      </w:r>
    </w:p>
    <w:p w14:paraId="277BE297" w14:textId="77777777" w:rsidR="0078407D" w:rsidRDefault="000E6C04" w:rsidP="00256F14">
      <w:pPr>
        <w:ind w:left="357"/>
        <w:jc w:val="both"/>
        <w:rPr>
          <w:rFonts w:ascii="Arial" w:hAnsi="Arial" w:cs="Arial"/>
          <w:sz w:val="24"/>
        </w:rPr>
      </w:pPr>
      <w:r>
        <w:rPr>
          <w:rFonts w:ascii="Arial" w:hAnsi="Arial" w:cs="Arial"/>
          <w:sz w:val="24"/>
        </w:rPr>
        <w:t>Change is possible through focussed activit</w:t>
      </w:r>
      <w:r w:rsidR="0078407D">
        <w:rPr>
          <w:rFonts w:ascii="Arial" w:hAnsi="Arial" w:cs="Arial"/>
          <w:sz w:val="24"/>
        </w:rPr>
        <w:t>y in the following four key areas:</w:t>
      </w:r>
    </w:p>
    <w:tbl>
      <w:tblPr>
        <w:tblStyle w:val="TableGrid"/>
        <w:tblW w:w="8788" w:type="dxa"/>
        <w:tblInd w:w="279" w:type="dxa"/>
        <w:tblLook w:val="04A0" w:firstRow="1" w:lastRow="0" w:firstColumn="1" w:lastColumn="0" w:noHBand="0" w:noVBand="1"/>
      </w:tblPr>
      <w:tblGrid>
        <w:gridCol w:w="2197"/>
        <w:gridCol w:w="2197"/>
        <w:gridCol w:w="2197"/>
        <w:gridCol w:w="2197"/>
      </w:tblGrid>
      <w:tr w:rsidR="004F4C93" w:rsidRPr="00256F14" w14:paraId="60828BB9" w14:textId="77777777" w:rsidTr="00CC016F">
        <w:tc>
          <w:tcPr>
            <w:tcW w:w="2197" w:type="dxa"/>
          </w:tcPr>
          <w:p w14:paraId="1D796C03" w14:textId="31D3B9B9" w:rsidR="001C2644" w:rsidRPr="00F91E49" w:rsidRDefault="001C2644" w:rsidP="00256F14">
            <w:pPr>
              <w:jc w:val="center"/>
              <w:rPr>
                <w:rFonts w:ascii="Arial" w:hAnsi="Arial" w:cs="Arial"/>
                <w:b/>
                <w:bCs/>
                <w:sz w:val="24"/>
                <w:szCs w:val="24"/>
              </w:rPr>
            </w:pPr>
            <w:r w:rsidRPr="00F91E49">
              <w:rPr>
                <w:rFonts w:ascii="Arial" w:hAnsi="Arial" w:cs="Arial"/>
                <w:b/>
                <w:bCs/>
                <w:sz w:val="24"/>
                <w:szCs w:val="24"/>
              </w:rPr>
              <w:t>Energy Procurement</w:t>
            </w:r>
          </w:p>
        </w:tc>
        <w:tc>
          <w:tcPr>
            <w:tcW w:w="2197" w:type="dxa"/>
          </w:tcPr>
          <w:p w14:paraId="563179CB" w14:textId="6CF02A32" w:rsidR="001C2644" w:rsidRPr="00F91E49" w:rsidRDefault="001C2644" w:rsidP="00256F14">
            <w:pPr>
              <w:jc w:val="center"/>
              <w:rPr>
                <w:rFonts w:ascii="Arial" w:hAnsi="Arial" w:cs="Arial"/>
                <w:b/>
                <w:bCs/>
                <w:sz w:val="24"/>
                <w:szCs w:val="24"/>
              </w:rPr>
            </w:pPr>
            <w:r w:rsidRPr="00F91E49">
              <w:rPr>
                <w:rFonts w:ascii="Arial" w:hAnsi="Arial" w:cs="Arial"/>
                <w:b/>
                <w:bCs/>
                <w:sz w:val="24"/>
                <w:szCs w:val="24"/>
              </w:rPr>
              <w:t>Reduction in Energy Consumption</w:t>
            </w:r>
          </w:p>
        </w:tc>
        <w:tc>
          <w:tcPr>
            <w:tcW w:w="2197" w:type="dxa"/>
          </w:tcPr>
          <w:p w14:paraId="431A5542" w14:textId="781CD2DB" w:rsidR="001C2644" w:rsidRPr="00F91E49" w:rsidRDefault="001C2644" w:rsidP="00256F14">
            <w:pPr>
              <w:jc w:val="center"/>
              <w:rPr>
                <w:rFonts w:ascii="Arial" w:hAnsi="Arial" w:cs="Arial"/>
                <w:b/>
                <w:bCs/>
                <w:sz w:val="24"/>
                <w:szCs w:val="24"/>
              </w:rPr>
            </w:pPr>
            <w:r w:rsidRPr="00F91E49">
              <w:rPr>
                <w:rFonts w:ascii="Arial" w:hAnsi="Arial" w:cs="Arial"/>
                <w:b/>
                <w:bCs/>
                <w:sz w:val="24"/>
                <w:szCs w:val="24"/>
              </w:rPr>
              <w:t>Generating Energy</w:t>
            </w:r>
          </w:p>
        </w:tc>
        <w:tc>
          <w:tcPr>
            <w:tcW w:w="2197" w:type="dxa"/>
          </w:tcPr>
          <w:p w14:paraId="6445B01F" w14:textId="5DFA7B88" w:rsidR="001C2644" w:rsidRPr="00F91E49" w:rsidRDefault="004F4C93" w:rsidP="00256F14">
            <w:pPr>
              <w:jc w:val="center"/>
              <w:rPr>
                <w:rFonts w:ascii="Arial" w:hAnsi="Arial" w:cs="Arial"/>
                <w:b/>
                <w:bCs/>
                <w:sz w:val="24"/>
                <w:szCs w:val="24"/>
              </w:rPr>
            </w:pPr>
            <w:r w:rsidRPr="00F91E49">
              <w:rPr>
                <w:rFonts w:ascii="Arial" w:hAnsi="Arial" w:cs="Arial"/>
                <w:b/>
                <w:bCs/>
                <w:sz w:val="24"/>
                <w:szCs w:val="24"/>
              </w:rPr>
              <w:t>Embedding Behavioural Change</w:t>
            </w:r>
          </w:p>
        </w:tc>
      </w:tr>
      <w:tr w:rsidR="004F4C93" w:rsidRPr="00256F14" w14:paraId="25F7BE56" w14:textId="77777777" w:rsidTr="00CC016F">
        <w:tc>
          <w:tcPr>
            <w:tcW w:w="2197" w:type="dxa"/>
          </w:tcPr>
          <w:p w14:paraId="0B3718B8" w14:textId="44B1A22C" w:rsidR="001C2644" w:rsidRPr="00F91E49" w:rsidRDefault="001C2644" w:rsidP="00256F14">
            <w:pPr>
              <w:jc w:val="center"/>
              <w:rPr>
                <w:rFonts w:ascii="Arial" w:hAnsi="Arial" w:cs="Arial"/>
                <w:sz w:val="24"/>
                <w:szCs w:val="24"/>
              </w:rPr>
            </w:pPr>
            <w:r w:rsidRPr="00F91E49">
              <w:rPr>
                <w:rFonts w:ascii="Arial" w:hAnsi="Arial" w:cs="Arial"/>
                <w:sz w:val="24"/>
                <w:szCs w:val="24"/>
              </w:rPr>
              <w:t>Buying energy in an efficient and sustainable manner across the Trust</w:t>
            </w:r>
          </w:p>
        </w:tc>
        <w:tc>
          <w:tcPr>
            <w:tcW w:w="2197" w:type="dxa"/>
          </w:tcPr>
          <w:p w14:paraId="5BBBFC85" w14:textId="1D1CC848" w:rsidR="001C2644" w:rsidRPr="00F91E49" w:rsidRDefault="001C2644" w:rsidP="00256F14">
            <w:pPr>
              <w:jc w:val="center"/>
              <w:rPr>
                <w:rFonts w:ascii="Arial" w:hAnsi="Arial" w:cs="Arial"/>
                <w:sz w:val="24"/>
                <w:szCs w:val="24"/>
              </w:rPr>
            </w:pPr>
            <w:r w:rsidRPr="00F91E49">
              <w:rPr>
                <w:rFonts w:ascii="Arial" w:hAnsi="Arial" w:cs="Arial"/>
                <w:sz w:val="24"/>
                <w:szCs w:val="24"/>
              </w:rPr>
              <w:t>Investment in programmes of work and activity to reduce our energy consumption</w:t>
            </w:r>
          </w:p>
        </w:tc>
        <w:tc>
          <w:tcPr>
            <w:tcW w:w="2197" w:type="dxa"/>
          </w:tcPr>
          <w:p w14:paraId="55D36490" w14:textId="02E17E76" w:rsidR="001C2644" w:rsidRPr="00F91E49" w:rsidRDefault="001C2644" w:rsidP="00256F14">
            <w:pPr>
              <w:jc w:val="center"/>
              <w:rPr>
                <w:rFonts w:ascii="Arial" w:hAnsi="Arial" w:cs="Arial"/>
                <w:sz w:val="24"/>
                <w:szCs w:val="24"/>
              </w:rPr>
            </w:pPr>
            <w:r w:rsidRPr="00F91E49">
              <w:rPr>
                <w:rFonts w:ascii="Arial" w:hAnsi="Arial" w:cs="Arial"/>
                <w:sz w:val="24"/>
                <w:szCs w:val="24"/>
              </w:rPr>
              <w:t>Investment in programmes to generate our own</w:t>
            </w:r>
            <w:r w:rsidR="004F4C93" w:rsidRPr="00F91E49">
              <w:rPr>
                <w:rFonts w:ascii="Arial" w:hAnsi="Arial" w:cs="Arial"/>
                <w:sz w:val="24"/>
                <w:szCs w:val="24"/>
              </w:rPr>
              <w:t xml:space="preserve"> renewable energy (Eg Solar Panels)</w:t>
            </w:r>
          </w:p>
        </w:tc>
        <w:tc>
          <w:tcPr>
            <w:tcW w:w="2197" w:type="dxa"/>
          </w:tcPr>
          <w:p w14:paraId="3E7E2C01" w14:textId="111F2078" w:rsidR="001C2644" w:rsidRPr="00F91E49" w:rsidRDefault="00256F14" w:rsidP="00256F14">
            <w:pPr>
              <w:jc w:val="center"/>
              <w:rPr>
                <w:rFonts w:ascii="Arial" w:hAnsi="Arial" w:cs="Arial"/>
                <w:sz w:val="24"/>
                <w:szCs w:val="24"/>
              </w:rPr>
            </w:pPr>
            <w:r w:rsidRPr="00F91E49">
              <w:rPr>
                <w:rFonts w:ascii="Arial" w:hAnsi="Arial" w:cs="Arial"/>
                <w:sz w:val="24"/>
                <w:szCs w:val="24"/>
              </w:rPr>
              <w:t xml:space="preserve">Affecting organisation change to ensure </w:t>
            </w:r>
            <w:r w:rsidR="00F00D99">
              <w:rPr>
                <w:rFonts w:ascii="Arial" w:hAnsi="Arial" w:cs="Arial"/>
                <w:sz w:val="24"/>
                <w:szCs w:val="24"/>
              </w:rPr>
              <w:t xml:space="preserve">a reduction in wasted use of energy, </w:t>
            </w:r>
            <w:r w:rsidRPr="00F91E49">
              <w:rPr>
                <w:rFonts w:ascii="Arial" w:hAnsi="Arial" w:cs="Arial"/>
                <w:sz w:val="24"/>
                <w:szCs w:val="24"/>
              </w:rPr>
              <w:t>energy efficiency and sustainability are key considerations of everything the Trust does</w:t>
            </w:r>
          </w:p>
          <w:p w14:paraId="29C5D7E2" w14:textId="1CCB4E0E" w:rsidR="00256F14" w:rsidRPr="00F91E49" w:rsidRDefault="00256F14" w:rsidP="00256F14">
            <w:pPr>
              <w:jc w:val="center"/>
              <w:rPr>
                <w:rFonts w:ascii="Arial" w:hAnsi="Arial" w:cs="Arial"/>
                <w:sz w:val="24"/>
                <w:szCs w:val="24"/>
              </w:rPr>
            </w:pPr>
          </w:p>
        </w:tc>
      </w:tr>
    </w:tbl>
    <w:p w14:paraId="241D1B5C" w14:textId="77777777" w:rsidR="00A92677" w:rsidRDefault="00A92677" w:rsidP="00842A36">
      <w:pPr>
        <w:ind w:left="357"/>
        <w:rPr>
          <w:rFonts w:ascii="Arial" w:hAnsi="Arial" w:cs="Arial"/>
          <w:sz w:val="24"/>
        </w:rPr>
      </w:pPr>
    </w:p>
    <w:p w14:paraId="3D7FA990" w14:textId="2F812541" w:rsidR="002C33EB" w:rsidRDefault="00F91E49" w:rsidP="009B1281">
      <w:pPr>
        <w:ind w:left="357"/>
        <w:jc w:val="both"/>
        <w:rPr>
          <w:rFonts w:ascii="Arial" w:hAnsi="Arial" w:cs="Arial"/>
          <w:sz w:val="24"/>
        </w:rPr>
      </w:pPr>
      <w:r>
        <w:rPr>
          <w:rFonts w:ascii="Arial" w:hAnsi="Arial" w:cs="Arial"/>
          <w:sz w:val="24"/>
        </w:rPr>
        <w:t>T</w:t>
      </w:r>
      <w:r w:rsidR="002C33EB">
        <w:rPr>
          <w:rFonts w:ascii="Arial" w:hAnsi="Arial" w:cs="Arial"/>
          <w:sz w:val="24"/>
        </w:rPr>
        <w:t>he Trust needs to set out an ambitious policy which builds on progress to date</w:t>
      </w:r>
      <w:r w:rsidR="009B1281">
        <w:rPr>
          <w:rFonts w:ascii="Arial" w:hAnsi="Arial" w:cs="Arial"/>
          <w:sz w:val="24"/>
        </w:rPr>
        <w:t xml:space="preserve"> and ensures the Trust meets its responsibilities under the UK Government Carbon reduction commitment whilst leaving a real legacy for future generations.</w:t>
      </w:r>
    </w:p>
    <w:p w14:paraId="732A3C59" w14:textId="0F9E7BDE" w:rsidR="00246280" w:rsidRDefault="0037581E" w:rsidP="009B1281">
      <w:pPr>
        <w:ind w:left="357"/>
        <w:jc w:val="both"/>
        <w:rPr>
          <w:rFonts w:ascii="Arial" w:hAnsi="Arial" w:cs="Arial"/>
          <w:sz w:val="24"/>
        </w:rPr>
      </w:pPr>
      <w:r>
        <w:rPr>
          <w:rFonts w:ascii="Arial" w:hAnsi="Arial" w:cs="Arial"/>
          <w:sz w:val="24"/>
        </w:rPr>
        <w:t>A</w:t>
      </w:r>
      <w:r w:rsidR="00544858">
        <w:rPr>
          <w:rFonts w:ascii="Arial" w:hAnsi="Arial" w:cs="Arial"/>
          <w:sz w:val="24"/>
        </w:rPr>
        <w:t xml:space="preserve">mbitious targets not only help with addressing the </w:t>
      </w:r>
      <w:r w:rsidR="00CC66D9">
        <w:rPr>
          <w:rFonts w:ascii="Arial" w:hAnsi="Arial" w:cs="Arial"/>
          <w:sz w:val="24"/>
        </w:rPr>
        <w:t>Trust’s</w:t>
      </w:r>
      <w:r w:rsidR="00544858">
        <w:rPr>
          <w:rFonts w:ascii="Arial" w:hAnsi="Arial" w:cs="Arial"/>
          <w:sz w:val="24"/>
        </w:rPr>
        <w:t xml:space="preserve"> carbon footprint, but also support the significant financial </w:t>
      </w:r>
      <w:r w:rsidR="000F2BBD">
        <w:rPr>
          <w:rFonts w:ascii="Arial" w:hAnsi="Arial" w:cs="Arial"/>
          <w:sz w:val="24"/>
        </w:rPr>
        <w:t xml:space="preserve">challenges the Trust faces following increases in gas and </w:t>
      </w:r>
      <w:r w:rsidR="00CC66D9">
        <w:rPr>
          <w:rFonts w:ascii="Arial" w:hAnsi="Arial" w:cs="Arial"/>
          <w:sz w:val="24"/>
        </w:rPr>
        <w:t>electricity</w:t>
      </w:r>
      <w:r w:rsidR="000F2BBD">
        <w:rPr>
          <w:rFonts w:ascii="Arial" w:hAnsi="Arial" w:cs="Arial"/>
          <w:sz w:val="24"/>
        </w:rPr>
        <w:t xml:space="preserve"> prices in 2022.  Our Trust </w:t>
      </w:r>
      <w:r w:rsidR="003D3E8D">
        <w:rPr>
          <w:rFonts w:ascii="Arial" w:hAnsi="Arial" w:cs="Arial"/>
          <w:sz w:val="24"/>
        </w:rPr>
        <w:t>wid</w:t>
      </w:r>
      <w:r w:rsidR="000F2BBD">
        <w:rPr>
          <w:rFonts w:ascii="Arial" w:hAnsi="Arial" w:cs="Arial"/>
          <w:sz w:val="24"/>
        </w:rPr>
        <w:t xml:space="preserve">e energy policy has been agreed by the Finance, Estates and </w:t>
      </w:r>
      <w:r w:rsidR="009A1727">
        <w:rPr>
          <w:rFonts w:ascii="Arial" w:hAnsi="Arial" w:cs="Arial"/>
          <w:sz w:val="24"/>
        </w:rPr>
        <w:t xml:space="preserve">Operation Committee and is supported at Trustee level.  In turn this policy will developed into a bespoke plan </w:t>
      </w:r>
      <w:r w:rsidR="00171252">
        <w:rPr>
          <w:rFonts w:ascii="Arial" w:hAnsi="Arial" w:cs="Arial"/>
          <w:sz w:val="24"/>
        </w:rPr>
        <w:t xml:space="preserve">and targets.  </w:t>
      </w:r>
      <w:r w:rsidR="00CC66D9">
        <w:rPr>
          <w:rFonts w:ascii="Arial" w:hAnsi="Arial" w:cs="Arial"/>
          <w:sz w:val="24"/>
        </w:rPr>
        <w:t>These</w:t>
      </w:r>
      <w:r w:rsidR="00171252">
        <w:rPr>
          <w:rFonts w:ascii="Arial" w:hAnsi="Arial" w:cs="Arial"/>
          <w:sz w:val="24"/>
        </w:rPr>
        <w:t xml:space="preserve"> targets </w:t>
      </w:r>
      <w:r w:rsidR="004A0FBE">
        <w:rPr>
          <w:rFonts w:ascii="Arial" w:hAnsi="Arial" w:cs="Arial"/>
          <w:sz w:val="24"/>
        </w:rPr>
        <w:t>will</w:t>
      </w:r>
      <w:r w:rsidR="00171252">
        <w:rPr>
          <w:rFonts w:ascii="Arial" w:hAnsi="Arial" w:cs="Arial"/>
          <w:sz w:val="24"/>
        </w:rPr>
        <w:t xml:space="preserve"> in</w:t>
      </w:r>
      <w:r w:rsidR="001677D1">
        <w:rPr>
          <w:rFonts w:ascii="Arial" w:hAnsi="Arial" w:cs="Arial"/>
          <w:sz w:val="24"/>
        </w:rPr>
        <w:t xml:space="preserve"> due course be shown in</w:t>
      </w:r>
      <w:r w:rsidR="00171252">
        <w:rPr>
          <w:rFonts w:ascii="Arial" w:hAnsi="Arial" w:cs="Arial"/>
          <w:sz w:val="24"/>
        </w:rPr>
        <w:t xml:space="preserve"> the Decarbonisation Roadmap</w:t>
      </w:r>
      <w:r w:rsidR="001677D1">
        <w:rPr>
          <w:rFonts w:ascii="Arial" w:hAnsi="Arial" w:cs="Arial"/>
          <w:sz w:val="24"/>
        </w:rPr>
        <w:t xml:space="preserve">. </w:t>
      </w:r>
      <w:r w:rsidR="00171252">
        <w:rPr>
          <w:rFonts w:ascii="Arial" w:hAnsi="Arial" w:cs="Arial"/>
          <w:sz w:val="24"/>
        </w:rPr>
        <w:t xml:space="preserve"> These will be regularly updated as the Trust </w:t>
      </w:r>
      <w:r w:rsidR="00CC66D9">
        <w:rPr>
          <w:rFonts w:ascii="Arial" w:hAnsi="Arial" w:cs="Arial"/>
          <w:sz w:val="24"/>
        </w:rPr>
        <w:t>navigates its way along the journey to net carbon zero.</w:t>
      </w:r>
    </w:p>
    <w:p w14:paraId="1737CEB6" w14:textId="7B004451" w:rsidR="00CC66D9" w:rsidRPr="00A854D1" w:rsidRDefault="00462E8E" w:rsidP="00A854D1">
      <w:pPr>
        <w:pStyle w:val="Heading2"/>
      </w:pPr>
      <w:bookmarkStart w:id="4" w:name="_Toc114170224"/>
      <w:r w:rsidRPr="00A854D1">
        <w:t>Trust Target</w:t>
      </w:r>
      <w:bookmarkEnd w:id="4"/>
    </w:p>
    <w:p w14:paraId="590178E9" w14:textId="77777777" w:rsidR="00A854D1" w:rsidRPr="00A854D1" w:rsidRDefault="00A854D1" w:rsidP="00A854D1">
      <w:pPr>
        <w:ind w:left="357"/>
        <w:jc w:val="both"/>
        <w:rPr>
          <w:rFonts w:ascii="Arial" w:hAnsi="Arial" w:cs="Arial"/>
          <w:sz w:val="24"/>
        </w:rPr>
      </w:pPr>
      <w:r w:rsidRPr="00A854D1">
        <w:rPr>
          <w:rFonts w:ascii="Arial" w:hAnsi="Arial" w:cs="Arial"/>
          <w:sz w:val="24"/>
        </w:rPr>
        <w:t>The reduction of the Trust carbon footprint is directly linked to the consumption of energy from the grid or renewable sources. This in turn has a day-to-day financial implication for the Trust in that it has to pay for energy consumed from its general annual grant.</w:t>
      </w:r>
    </w:p>
    <w:p w14:paraId="70620CC3" w14:textId="17928BFC" w:rsidR="00A87D8F" w:rsidRPr="004B6FCD" w:rsidRDefault="00B855F9" w:rsidP="00A854D1">
      <w:pPr>
        <w:ind w:left="357"/>
        <w:jc w:val="both"/>
        <w:rPr>
          <w:rFonts w:ascii="Arial" w:hAnsi="Arial" w:cs="Arial"/>
          <w:sz w:val="24"/>
          <w:szCs w:val="24"/>
        </w:rPr>
      </w:pPr>
      <w:r w:rsidRPr="004B6FCD">
        <w:rPr>
          <w:rFonts w:ascii="Arial" w:hAnsi="Arial" w:cs="Arial"/>
          <w:sz w:val="24"/>
          <w:szCs w:val="24"/>
        </w:rPr>
        <w:t>The Trust’s Energy Strategy is evolving</w:t>
      </w:r>
      <w:r w:rsidR="00C626A7" w:rsidRPr="004B6FCD">
        <w:rPr>
          <w:rFonts w:ascii="Arial" w:hAnsi="Arial" w:cs="Arial"/>
          <w:sz w:val="24"/>
          <w:szCs w:val="24"/>
        </w:rPr>
        <w:t xml:space="preserve"> and at the end of the 2022/23 academic year it will</w:t>
      </w:r>
      <w:r w:rsidR="00383430" w:rsidRPr="004B6FCD">
        <w:rPr>
          <w:rFonts w:ascii="Arial" w:hAnsi="Arial" w:cs="Arial"/>
          <w:sz w:val="24"/>
          <w:szCs w:val="24"/>
        </w:rPr>
        <w:t xml:space="preserve">, as a minimum, </w:t>
      </w:r>
      <w:r w:rsidR="00C626A7" w:rsidRPr="004B6FCD">
        <w:rPr>
          <w:rFonts w:ascii="Arial" w:hAnsi="Arial" w:cs="Arial"/>
          <w:sz w:val="24"/>
          <w:szCs w:val="24"/>
        </w:rPr>
        <w:t>set a</w:t>
      </w:r>
      <w:r w:rsidR="00383430" w:rsidRPr="004B6FCD">
        <w:rPr>
          <w:rFonts w:ascii="Arial" w:hAnsi="Arial" w:cs="Arial"/>
          <w:sz w:val="24"/>
          <w:szCs w:val="24"/>
        </w:rPr>
        <w:t xml:space="preserve"> medium term target to reach by 2024/25.  </w:t>
      </w:r>
      <w:r w:rsidR="00EE673A" w:rsidRPr="004B6FCD">
        <w:rPr>
          <w:rFonts w:ascii="Arial" w:hAnsi="Arial" w:cs="Arial"/>
          <w:sz w:val="24"/>
          <w:szCs w:val="24"/>
        </w:rPr>
        <w:t>This will include detailed targets for gas, electricity and other fuel sources</w:t>
      </w:r>
      <w:r w:rsidR="00A87D8F" w:rsidRPr="004B6FCD">
        <w:rPr>
          <w:rFonts w:ascii="Arial" w:hAnsi="Arial" w:cs="Arial"/>
          <w:sz w:val="24"/>
          <w:szCs w:val="24"/>
        </w:rPr>
        <w:t xml:space="preserve"> as well as </w:t>
      </w:r>
      <w:r w:rsidR="00A87D8F" w:rsidRPr="004B6FCD">
        <w:rPr>
          <w:rFonts w:ascii="Arial" w:hAnsi="Arial" w:cs="Arial"/>
          <w:sz w:val="24"/>
          <w:szCs w:val="24"/>
        </w:rPr>
        <w:lastRenderedPageBreak/>
        <w:t>considering how much electricity will be self-generated, and considering vehicle use.</w:t>
      </w:r>
    </w:p>
    <w:p w14:paraId="05DA1852" w14:textId="77777777" w:rsidR="004B6FCD" w:rsidRPr="004B6FCD" w:rsidRDefault="00383430" w:rsidP="00A854D1">
      <w:pPr>
        <w:ind w:left="357"/>
        <w:jc w:val="both"/>
        <w:rPr>
          <w:rFonts w:ascii="Arial" w:hAnsi="Arial" w:cs="Arial"/>
          <w:sz w:val="24"/>
          <w:szCs w:val="24"/>
        </w:rPr>
      </w:pPr>
      <w:r w:rsidRPr="004B6FCD">
        <w:rPr>
          <w:rFonts w:ascii="Arial" w:hAnsi="Arial" w:cs="Arial"/>
          <w:sz w:val="24"/>
          <w:szCs w:val="24"/>
        </w:rPr>
        <w:t>For</w:t>
      </w:r>
      <w:r w:rsidR="00500D58" w:rsidRPr="004B6FCD">
        <w:rPr>
          <w:rFonts w:ascii="Arial" w:hAnsi="Arial" w:cs="Arial"/>
          <w:sz w:val="24"/>
          <w:szCs w:val="24"/>
        </w:rPr>
        <w:t xml:space="preserve"> 2022/23 the focus will be on behavioural change and reducing waste</w:t>
      </w:r>
      <w:r w:rsidR="00291866" w:rsidRPr="004B6FCD">
        <w:rPr>
          <w:rFonts w:ascii="Arial" w:hAnsi="Arial" w:cs="Arial"/>
          <w:sz w:val="24"/>
          <w:szCs w:val="24"/>
        </w:rPr>
        <w:t xml:space="preserve"> and the Trust is setting itself a target of </w:t>
      </w:r>
      <w:r w:rsidR="00DC0586" w:rsidRPr="004B6FCD">
        <w:rPr>
          <w:rFonts w:ascii="Arial" w:hAnsi="Arial" w:cs="Arial"/>
          <w:sz w:val="24"/>
          <w:szCs w:val="24"/>
        </w:rPr>
        <w:t xml:space="preserve">a </w:t>
      </w:r>
      <w:r w:rsidR="00291866" w:rsidRPr="004B6FCD">
        <w:rPr>
          <w:rFonts w:ascii="Arial" w:hAnsi="Arial" w:cs="Arial"/>
          <w:sz w:val="24"/>
          <w:szCs w:val="24"/>
        </w:rPr>
        <w:t xml:space="preserve">10% </w:t>
      </w:r>
      <w:r w:rsidR="00DC0586" w:rsidRPr="004B6FCD">
        <w:rPr>
          <w:rFonts w:ascii="Arial" w:hAnsi="Arial" w:cs="Arial"/>
          <w:sz w:val="24"/>
          <w:szCs w:val="24"/>
        </w:rPr>
        <w:t xml:space="preserve">reduction </w:t>
      </w:r>
      <w:r w:rsidR="00291866" w:rsidRPr="004B6FCD">
        <w:rPr>
          <w:rFonts w:ascii="Arial" w:hAnsi="Arial" w:cs="Arial"/>
          <w:sz w:val="24"/>
          <w:szCs w:val="24"/>
        </w:rPr>
        <w:t xml:space="preserve">for both gas and </w:t>
      </w:r>
      <w:r w:rsidR="000E0CB3" w:rsidRPr="004B6FCD">
        <w:rPr>
          <w:rFonts w:ascii="Arial" w:hAnsi="Arial" w:cs="Arial"/>
          <w:sz w:val="24"/>
          <w:szCs w:val="24"/>
        </w:rPr>
        <w:t xml:space="preserve">electricity. </w:t>
      </w:r>
      <w:r w:rsidRPr="004B6FCD">
        <w:rPr>
          <w:rFonts w:ascii="Arial" w:hAnsi="Arial" w:cs="Arial"/>
          <w:sz w:val="24"/>
          <w:szCs w:val="24"/>
        </w:rPr>
        <w:t xml:space="preserve"> </w:t>
      </w:r>
      <w:r w:rsidR="00A854D1" w:rsidRPr="004B6FCD">
        <w:rPr>
          <w:rFonts w:ascii="Arial" w:hAnsi="Arial" w:cs="Arial"/>
          <w:sz w:val="24"/>
          <w:szCs w:val="24"/>
        </w:rPr>
        <w:t xml:space="preserve">If the Trust can </w:t>
      </w:r>
      <w:r w:rsidR="000E0CB3" w:rsidRPr="004B6FCD">
        <w:rPr>
          <w:rFonts w:ascii="Arial" w:hAnsi="Arial" w:cs="Arial"/>
          <w:sz w:val="24"/>
          <w:szCs w:val="24"/>
        </w:rPr>
        <w:t>achieve this it will reduce</w:t>
      </w:r>
      <w:r w:rsidR="00A854D1" w:rsidRPr="004B6FCD">
        <w:rPr>
          <w:rFonts w:ascii="Arial" w:hAnsi="Arial" w:cs="Arial"/>
          <w:sz w:val="24"/>
          <w:szCs w:val="24"/>
        </w:rPr>
        <w:t xml:space="preserve"> its carbon footprint from the position it was in 20</w:t>
      </w:r>
      <w:r w:rsidR="00DC0586" w:rsidRPr="004B6FCD">
        <w:rPr>
          <w:rFonts w:ascii="Arial" w:hAnsi="Arial" w:cs="Arial"/>
          <w:sz w:val="24"/>
          <w:szCs w:val="24"/>
        </w:rPr>
        <w:t>21/22</w:t>
      </w:r>
      <w:r w:rsidR="00A854D1" w:rsidRPr="004B6FCD">
        <w:rPr>
          <w:rFonts w:ascii="Arial" w:hAnsi="Arial" w:cs="Arial"/>
          <w:sz w:val="24"/>
          <w:szCs w:val="24"/>
        </w:rPr>
        <w:t xml:space="preserve"> then this could save </w:t>
      </w:r>
      <w:r w:rsidR="00DC0586" w:rsidRPr="004B6FCD">
        <w:rPr>
          <w:rFonts w:ascii="Arial" w:hAnsi="Arial" w:cs="Arial"/>
          <w:sz w:val="24"/>
          <w:szCs w:val="24"/>
        </w:rPr>
        <w:t>238</w:t>
      </w:r>
      <w:r w:rsidR="00A854D1" w:rsidRPr="004B6FCD">
        <w:rPr>
          <w:rFonts w:ascii="Arial" w:hAnsi="Arial" w:cs="Arial"/>
          <w:sz w:val="24"/>
          <w:szCs w:val="24"/>
        </w:rPr>
        <w:t xml:space="preserve"> tonnes of carbon</w:t>
      </w:r>
      <w:r w:rsidR="004B6FCD" w:rsidRPr="004B6FCD">
        <w:rPr>
          <w:rFonts w:ascii="Arial" w:hAnsi="Arial" w:cs="Arial"/>
          <w:sz w:val="24"/>
          <w:szCs w:val="24"/>
        </w:rPr>
        <w:t>.</w:t>
      </w:r>
    </w:p>
    <w:p w14:paraId="14CEF603" w14:textId="72E8C93C" w:rsidR="00A854D1" w:rsidRPr="006152FA" w:rsidRDefault="004B6FCD" w:rsidP="006152FA">
      <w:pPr>
        <w:tabs>
          <w:tab w:val="left" w:pos="4962"/>
        </w:tabs>
        <w:ind w:left="357"/>
        <w:jc w:val="both"/>
        <w:rPr>
          <w:rFonts w:ascii="Arial" w:hAnsi="Arial" w:cs="Arial"/>
          <w:sz w:val="24"/>
          <w:szCs w:val="24"/>
        </w:rPr>
      </w:pPr>
      <w:r w:rsidRPr="006152FA">
        <w:rPr>
          <w:rFonts w:ascii="Arial" w:hAnsi="Arial" w:cs="Arial"/>
          <w:sz w:val="24"/>
          <w:szCs w:val="24"/>
        </w:rPr>
        <w:t xml:space="preserve">Electricity and gas prices are currently </w:t>
      </w:r>
      <w:r w:rsidR="001E2CF5" w:rsidRPr="006152FA">
        <w:rPr>
          <w:rFonts w:ascii="Arial" w:hAnsi="Arial" w:cs="Arial"/>
          <w:sz w:val="24"/>
          <w:szCs w:val="24"/>
        </w:rPr>
        <w:t xml:space="preserve">volatile, </w:t>
      </w:r>
      <w:r w:rsidR="009333BE" w:rsidRPr="006152FA">
        <w:rPr>
          <w:rFonts w:ascii="Arial" w:hAnsi="Arial" w:cs="Arial"/>
          <w:sz w:val="24"/>
          <w:szCs w:val="24"/>
        </w:rPr>
        <w:t>and contract prices for the Trust for 2022/23 are much lower than current market rates.  Howeve</w:t>
      </w:r>
      <w:r w:rsidR="002A0F61" w:rsidRPr="006152FA">
        <w:rPr>
          <w:rFonts w:ascii="Arial" w:hAnsi="Arial" w:cs="Arial"/>
          <w:sz w:val="24"/>
          <w:szCs w:val="24"/>
        </w:rPr>
        <w:t>r</w:t>
      </w:r>
      <w:r w:rsidR="001E2CF5" w:rsidRPr="006152FA">
        <w:rPr>
          <w:rFonts w:ascii="Arial" w:hAnsi="Arial" w:cs="Arial"/>
          <w:sz w:val="24"/>
          <w:szCs w:val="24"/>
        </w:rPr>
        <w:t xml:space="preserve"> assuming a price</w:t>
      </w:r>
      <w:r w:rsidR="002A0F61" w:rsidRPr="006152FA">
        <w:rPr>
          <w:rFonts w:ascii="Arial" w:hAnsi="Arial" w:cs="Arial"/>
          <w:sz w:val="24"/>
          <w:szCs w:val="24"/>
        </w:rPr>
        <w:t xml:space="preserve"> from 2023/24 </w:t>
      </w:r>
      <w:r w:rsidR="001E2CF5" w:rsidRPr="006152FA">
        <w:rPr>
          <w:rFonts w:ascii="Arial" w:hAnsi="Arial" w:cs="Arial"/>
          <w:sz w:val="24"/>
          <w:szCs w:val="24"/>
        </w:rPr>
        <w:t xml:space="preserve">of </w:t>
      </w:r>
      <w:r w:rsidR="00830BC7" w:rsidRPr="006152FA">
        <w:rPr>
          <w:rFonts w:ascii="Arial" w:hAnsi="Arial" w:cs="Arial"/>
          <w:sz w:val="24"/>
          <w:szCs w:val="24"/>
        </w:rPr>
        <w:t xml:space="preserve">70p per kwh for electricity and </w:t>
      </w:r>
      <w:r w:rsidR="009333BE" w:rsidRPr="006152FA">
        <w:rPr>
          <w:rFonts w:ascii="Arial" w:hAnsi="Arial" w:cs="Arial"/>
          <w:sz w:val="24"/>
          <w:szCs w:val="24"/>
        </w:rPr>
        <w:t xml:space="preserve">30p per kwh for gas this could generate </w:t>
      </w:r>
      <w:r w:rsidR="00FC6C81" w:rsidRPr="006152FA">
        <w:rPr>
          <w:rFonts w:ascii="Arial" w:hAnsi="Arial" w:cs="Arial"/>
          <w:sz w:val="24"/>
          <w:szCs w:val="24"/>
        </w:rPr>
        <w:t xml:space="preserve">considerable </w:t>
      </w:r>
      <w:r w:rsidR="009333BE" w:rsidRPr="006152FA">
        <w:rPr>
          <w:rFonts w:ascii="Arial" w:hAnsi="Arial" w:cs="Arial"/>
          <w:sz w:val="24"/>
          <w:szCs w:val="24"/>
        </w:rPr>
        <w:t xml:space="preserve">savings </w:t>
      </w:r>
      <w:r w:rsidR="00FC6C81" w:rsidRPr="006152FA">
        <w:rPr>
          <w:rFonts w:ascii="Arial" w:hAnsi="Arial" w:cs="Arial"/>
          <w:sz w:val="24"/>
          <w:szCs w:val="24"/>
        </w:rPr>
        <w:t xml:space="preserve">in the region of £500,000 pa.  </w:t>
      </w:r>
    </w:p>
    <w:p w14:paraId="62C089F5" w14:textId="77777777" w:rsidR="00A854D1" w:rsidRPr="00A854D1" w:rsidRDefault="00A854D1" w:rsidP="00A854D1">
      <w:pPr>
        <w:ind w:left="357"/>
        <w:jc w:val="both"/>
        <w:rPr>
          <w:rFonts w:ascii="Arial" w:hAnsi="Arial" w:cs="Arial"/>
          <w:sz w:val="24"/>
        </w:rPr>
      </w:pPr>
      <w:r w:rsidRPr="00A854D1">
        <w:rPr>
          <w:rFonts w:ascii="Arial" w:hAnsi="Arial" w:cs="Arial"/>
          <w:sz w:val="24"/>
        </w:rPr>
        <w:t>These are ambitious but realistic targets and will leave both a financial and carbon reduction legacy for future generations of staff and students</w:t>
      </w:r>
    </w:p>
    <w:p w14:paraId="0F79770A" w14:textId="18F9ABE8" w:rsidR="00A854D1" w:rsidRPr="00AE18D4" w:rsidRDefault="00A854D1" w:rsidP="00AE18D4">
      <w:pPr>
        <w:pStyle w:val="Heading2"/>
      </w:pPr>
      <w:bookmarkStart w:id="5" w:name="_Toc114170225"/>
      <w:r w:rsidRPr="00AE18D4">
        <w:t>Measur</w:t>
      </w:r>
      <w:r w:rsidR="00AE18D4" w:rsidRPr="00AE18D4">
        <w:t>ing the impact of actions – current position on the decarbonisation journey</w:t>
      </w:r>
      <w:bookmarkEnd w:id="5"/>
    </w:p>
    <w:p w14:paraId="0FADF03B" w14:textId="510A5C9B" w:rsidR="00AE18D4" w:rsidRDefault="00805864" w:rsidP="00C6167F">
      <w:pPr>
        <w:ind w:left="357"/>
        <w:jc w:val="both"/>
        <w:rPr>
          <w:rFonts w:ascii="Arial" w:hAnsi="Arial" w:cs="Arial"/>
          <w:sz w:val="24"/>
        </w:rPr>
      </w:pPr>
      <w:r>
        <w:rPr>
          <w:rFonts w:ascii="Arial" w:hAnsi="Arial" w:cs="Arial"/>
          <w:sz w:val="24"/>
        </w:rPr>
        <w:t xml:space="preserve">Anglian Learning grew significantly in January 2020 and April 2020 making comparisons </w:t>
      </w:r>
      <w:r w:rsidR="00DE7E99">
        <w:rPr>
          <w:rFonts w:ascii="Arial" w:hAnsi="Arial" w:cs="Arial"/>
          <w:sz w:val="24"/>
        </w:rPr>
        <w:t xml:space="preserve">difficult. The Covid pandemic also </w:t>
      </w:r>
      <w:r w:rsidR="004F0D47">
        <w:rPr>
          <w:rFonts w:ascii="Arial" w:hAnsi="Arial" w:cs="Arial"/>
          <w:sz w:val="24"/>
        </w:rPr>
        <w:t xml:space="preserve">skewed consumption with school closures impacting on some months and then possible increased use of energy at other points </w:t>
      </w:r>
      <w:r w:rsidR="008E3D5E">
        <w:rPr>
          <w:rFonts w:ascii="Arial" w:hAnsi="Arial" w:cs="Arial"/>
          <w:sz w:val="24"/>
        </w:rPr>
        <w:t>when additional heating was required to compensate for increased ventilation.</w:t>
      </w:r>
    </w:p>
    <w:p w14:paraId="38B46105" w14:textId="4FB97183" w:rsidR="008E3D5E" w:rsidRDefault="00F914EB" w:rsidP="00C6167F">
      <w:pPr>
        <w:ind w:left="357"/>
        <w:jc w:val="both"/>
        <w:rPr>
          <w:rFonts w:ascii="Arial" w:hAnsi="Arial" w:cs="Arial"/>
          <w:sz w:val="24"/>
        </w:rPr>
      </w:pPr>
      <w:r>
        <w:rPr>
          <w:rFonts w:ascii="Arial" w:hAnsi="Arial" w:cs="Arial"/>
          <w:sz w:val="24"/>
        </w:rPr>
        <w:t>However l</w:t>
      </w:r>
      <w:r w:rsidR="009B5610">
        <w:rPr>
          <w:rFonts w:ascii="Arial" w:hAnsi="Arial" w:cs="Arial"/>
          <w:sz w:val="24"/>
        </w:rPr>
        <w:t>ooking at the two mains fuels consumed across the Trust</w:t>
      </w:r>
      <w:r w:rsidR="00CF27AE">
        <w:rPr>
          <w:rFonts w:ascii="Arial" w:hAnsi="Arial" w:cs="Arial"/>
          <w:sz w:val="24"/>
        </w:rPr>
        <w:t xml:space="preserve"> (gas and electricity) </w:t>
      </w:r>
      <w:r>
        <w:rPr>
          <w:rFonts w:ascii="Arial" w:hAnsi="Arial" w:cs="Arial"/>
          <w:sz w:val="24"/>
        </w:rPr>
        <w:t>for a broadly consistent group of schools</w:t>
      </w:r>
      <w:r w:rsidR="00E744DB">
        <w:rPr>
          <w:rFonts w:ascii="Arial" w:hAnsi="Arial" w:cs="Arial"/>
          <w:sz w:val="24"/>
        </w:rPr>
        <w:t>:</w:t>
      </w:r>
    </w:p>
    <w:tbl>
      <w:tblPr>
        <w:tblStyle w:val="TableGrid"/>
        <w:tblW w:w="0" w:type="auto"/>
        <w:tblInd w:w="357" w:type="dxa"/>
        <w:tblLook w:val="04A0" w:firstRow="1" w:lastRow="0" w:firstColumn="1" w:lastColumn="0" w:noHBand="0" w:noVBand="1"/>
      </w:tblPr>
      <w:tblGrid>
        <w:gridCol w:w="1699"/>
        <w:gridCol w:w="1755"/>
        <w:gridCol w:w="1751"/>
        <w:gridCol w:w="1755"/>
        <w:gridCol w:w="1699"/>
      </w:tblGrid>
      <w:tr w:rsidR="00504DB0" w14:paraId="2B967CFC" w14:textId="77777777" w:rsidTr="002E58CA">
        <w:tc>
          <w:tcPr>
            <w:tcW w:w="1699" w:type="dxa"/>
          </w:tcPr>
          <w:p w14:paraId="71F6B2AF" w14:textId="77777777" w:rsidR="00504DB0" w:rsidRDefault="00504DB0" w:rsidP="00C6167F">
            <w:pPr>
              <w:jc w:val="both"/>
              <w:rPr>
                <w:rFonts w:ascii="Arial" w:hAnsi="Arial" w:cs="Arial"/>
                <w:sz w:val="24"/>
              </w:rPr>
            </w:pPr>
          </w:p>
        </w:tc>
        <w:tc>
          <w:tcPr>
            <w:tcW w:w="3506" w:type="dxa"/>
            <w:gridSpan w:val="2"/>
          </w:tcPr>
          <w:p w14:paraId="35B412C4" w14:textId="0D0AD396" w:rsidR="00504DB0" w:rsidRPr="00590A82" w:rsidRDefault="00504DB0" w:rsidP="00504DB0">
            <w:pPr>
              <w:jc w:val="center"/>
              <w:rPr>
                <w:rFonts w:ascii="Arial" w:hAnsi="Arial" w:cs="Arial"/>
                <w:b/>
                <w:bCs/>
                <w:sz w:val="24"/>
              </w:rPr>
            </w:pPr>
            <w:r w:rsidRPr="00590A82">
              <w:rPr>
                <w:rFonts w:ascii="Arial" w:hAnsi="Arial" w:cs="Arial"/>
                <w:b/>
                <w:bCs/>
                <w:sz w:val="24"/>
              </w:rPr>
              <w:t>2020/21</w:t>
            </w:r>
          </w:p>
        </w:tc>
        <w:tc>
          <w:tcPr>
            <w:tcW w:w="3454" w:type="dxa"/>
            <w:gridSpan w:val="2"/>
          </w:tcPr>
          <w:p w14:paraId="43799D5B" w14:textId="25689B0A" w:rsidR="00504DB0" w:rsidRPr="00590A82" w:rsidRDefault="00504DB0" w:rsidP="00504DB0">
            <w:pPr>
              <w:jc w:val="center"/>
              <w:rPr>
                <w:rFonts w:ascii="Arial" w:hAnsi="Arial" w:cs="Arial"/>
                <w:b/>
                <w:bCs/>
                <w:sz w:val="24"/>
              </w:rPr>
            </w:pPr>
            <w:r w:rsidRPr="00590A82">
              <w:rPr>
                <w:rFonts w:ascii="Arial" w:hAnsi="Arial" w:cs="Arial"/>
                <w:b/>
                <w:bCs/>
                <w:sz w:val="24"/>
              </w:rPr>
              <w:t>2021/22</w:t>
            </w:r>
            <w:r w:rsidR="005A0F33">
              <w:rPr>
                <w:rFonts w:ascii="Arial" w:hAnsi="Arial" w:cs="Arial"/>
                <w:b/>
                <w:bCs/>
                <w:sz w:val="24"/>
              </w:rPr>
              <w:t>*</w:t>
            </w:r>
          </w:p>
        </w:tc>
      </w:tr>
      <w:tr w:rsidR="00504DB0" w14:paraId="5C29A966" w14:textId="77777777" w:rsidTr="00504DB0">
        <w:tc>
          <w:tcPr>
            <w:tcW w:w="1699" w:type="dxa"/>
          </w:tcPr>
          <w:p w14:paraId="4745899E" w14:textId="77777777" w:rsidR="00504DB0" w:rsidRDefault="00504DB0" w:rsidP="00504DB0">
            <w:pPr>
              <w:jc w:val="both"/>
              <w:rPr>
                <w:rFonts w:ascii="Arial" w:hAnsi="Arial" w:cs="Arial"/>
                <w:sz w:val="24"/>
              </w:rPr>
            </w:pPr>
          </w:p>
        </w:tc>
        <w:tc>
          <w:tcPr>
            <w:tcW w:w="1755" w:type="dxa"/>
          </w:tcPr>
          <w:p w14:paraId="51BD4378" w14:textId="67C58BD4" w:rsidR="00504DB0" w:rsidRDefault="00504DB0" w:rsidP="005A0F33">
            <w:pPr>
              <w:jc w:val="right"/>
              <w:rPr>
                <w:rFonts w:ascii="Arial" w:hAnsi="Arial" w:cs="Arial"/>
                <w:sz w:val="24"/>
              </w:rPr>
            </w:pPr>
            <w:r>
              <w:rPr>
                <w:rFonts w:ascii="Arial" w:hAnsi="Arial" w:cs="Arial"/>
                <w:sz w:val="24"/>
              </w:rPr>
              <w:t>Kwh</w:t>
            </w:r>
          </w:p>
        </w:tc>
        <w:tc>
          <w:tcPr>
            <w:tcW w:w="1751" w:type="dxa"/>
          </w:tcPr>
          <w:p w14:paraId="64D240F6" w14:textId="17CF3AB2" w:rsidR="00504DB0" w:rsidRDefault="00504DB0" w:rsidP="005A0F33">
            <w:pPr>
              <w:jc w:val="right"/>
              <w:rPr>
                <w:rFonts w:ascii="Arial" w:hAnsi="Arial" w:cs="Arial"/>
                <w:sz w:val="24"/>
              </w:rPr>
            </w:pPr>
            <w:r>
              <w:rPr>
                <w:rFonts w:ascii="Arial" w:hAnsi="Arial" w:cs="Arial"/>
                <w:sz w:val="24"/>
              </w:rPr>
              <w:t>Tonnes of CO2</w:t>
            </w:r>
          </w:p>
        </w:tc>
        <w:tc>
          <w:tcPr>
            <w:tcW w:w="1755" w:type="dxa"/>
          </w:tcPr>
          <w:p w14:paraId="71130C8F" w14:textId="288B97DC" w:rsidR="00504DB0" w:rsidRDefault="00504DB0" w:rsidP="005A0F33">
            <w:pPr>
              <w:jc w:val="right"/>
              <w:rPr>
                <w:rFonts w:ascii="Arial" w:hAnsi="Arial" w:cs="Arial"/>
                <w:sz w:val="24"/>
              </w:rPr>
            </w:pPr>
            <w:r>
              <w:rPr>
                <w:rFonts w:ascii="Arial" w:hAnsi="Arial" w:cs="Arial"/>
                <w:sz w:val="24"/>
              </w:rPr>
              <w:t>kwh</w:t>
            </w:r>
          </w:p>
        </w:tc>
        <w:tc>
          <w:tcPr>
            <w:tcW w:w="1699" w:type="dxa"/>
          </w:tcPr>
          <w:p w14:paraId="02D5B912" w14:textId="15285383" w:rsidR="00504DB0" w:rsidRDefault="00504DB0" w:rsidP="005A0F33">
            <w:pPr>
              <w:jc w:val="right"/>
              <w:rPr>
                <w:rFonts w:ascii="Arial" w:hAnsi="Arial" w:cs="Arial"/>
                <w:sz w:val="24"/>
              </w:rPr>
            </w:pPr>
            <w:r>
              <w:rPr>
                <w:rFonts w:ascii="Arial" w:hAnsi="Arial" w:cs="Arial"/>
                <w:sz w:val="24"/>
              </w:rPr>
              <w:t>Tonnes of CO2</w:t>
            </w:r>
          </w:p>
        </w:tc>
      </w:tr>
      <w:tr w:rsidR="00504DB0" w14:paraId="755CCF92" w14:textId="77777777" w:rsidTr="00504DB0">
        <w:tc>
          <w:tcPr>
            <w:tcW w:w="1699" w:type="dxa"/>
          </w:tcPr>
          <w:p w14:paraId="4554A14C" w14:textId="248CAEC1" w:rsidR="00504DB0" w:rsidRDefault="00504DB0" w:rsidP="00504DB0">
            <w:pPr>
              <w:jc w:val="both"/>
              <w:rPr>
                <w:rFonts w:ascii="Arial" w:hAnsi="Arial" w:cs="Arial"/>
                <w:sz w:val="24"/>
              </w:rPr>
            </w:pPr>
            <w:r>
              <w:rPr>
                <w:rFonts w:ascii="Arial" w:hAnsi="Arial" w:cs="Arial"/>
                <w:sz w:val="24"/>
              </w:rPr>
              <w:t xml:space="preserve">Gas </w:t>
            </w:r>
          </w:p>
        </w:tc>
        <w:tc>
          <w:tcPr>
            <w:tcW w:w="1755" w:type="dxa"/>
          </w:tcPr>
          <w:p w14:paraId="5ABCB906" w14:textId="6D8F0420" w:rsidR="00504DB0" w:rsidRDefault="003435B7" w:rsidP="005A0F33">
            <w:pPr>
              <w:jc w:val="right"/>
              <w:rPr>
                <w:rFonts w:ascii="Arial" w:hAnsi="Arial" w:cs="Arial"/>
                <w:sz w:val="24"/>
              </w:rPr>
            </w:pPr>
            <w:r>
              <w:rPr>
                <w:rFonts w:ascii="Arial" w:hAnsi="Arial" w:cs="Arial"/>
                <w:sz w:val="24"/>
              </w:rPr>
              <w:t>8,579,279</w:t>
            </w:r>
          </w:p>
        </w:tc>
        <w:tc>
          <w:tcPr>
            <w:tcW w:w="1751" w:type="dxa"/>
          </w:tcPr>
          <w:p w14:paraId="151301E9" w14:textId="01D1D749" w:rsidR="00504DB0" w:rsidRDefault="003435B7" w:rsidP="005A0F33">
            <w:pPr>
              <w:jc w:val="right"/>
              <w:rPr>
                <w:rFonts w:ascii="Arial" w:hAnsi="Arial" w:cs="Arial"/>
                <w:sz w:val="24"/>
              </w:rPr>
            </w:pPr>
            <w:r>
              <w:rPr>
                <w:rFonts w:ascii="Arial" w:hAnsi="Arial" w:cs="Arial"/>
                <w:sz w:val="24"/>
              </w:rPr>
              <w:t>1,741.33</w:t>
            </w:r>
          </w:p>
        </w:tc>
        <w:tc>
          <w:tcPr>
            <w:tcW w:w="1755" w:type="dxa"/>
          </w:tcPr>
          <w:p w14:paraId="153CFC3F" w14:textId="285DE658" w:rsidR="00504DB0" w:rsidRDefault="003435B7" w:rsidP="005A0F33">
            <w:pPr>
              <w:jc w:val="right"/>
              <w:rPr>
                <w:rFonts w:ascii="Arial" w:hAnsi="Arial" w:cs="Arial"/>
                <w:sz w:val="24"/>
              </w:rPr>
            </w:pPr>
            <w:r>
              <w:rPr>
                <w:rFonts w:ascii="Arial" w:hAnsi="Arial" w:cs="Arial"/>
                <w:sz w:val="24"/>
              </w:rPr>
              <w:t>8,144,099</w:t>
            </w:r>
          </w:p>
        </w:tc>
        <w:tc>
          <w:tcPr>
            <w:tcW w:w="1699" w:type="dxa"/>
          </w:tcPr>
          <w:p w14:paraId="5FA5C3FE" w14:textId="5E365A0E" w:rsidR="00504DB0" w:rsidRDefault="00F84E94" w:rsidP="005A0F33">
            <w:pPr>
              <w:jc w:val="right"/>
              <w:rPr>
                <w:rFonts w:ascii="Arial" w:hAnsi="Arial" w:cs="Arial"/>
                <w:sz w:val="24"/>
              </w:rPr>
            </w:pPr>
            <w:r>
              <w:rPr>
                <w:rFonts w:ascii="Arial" w:hAnsi="Arial" w:cs="Arial"/>
                <w:sz w:val="24"/>
              </w:rPr>
              <w:t>1,653.01</w:t>
            </w:r>
          </w:p>
        </w:tc>
      </w:tr>
      <w:tr w:rsidR="00504DB0" w14:paraId="40202942" w14:textId="77777777" w:rsidTr="00504DB0">
        <w:tc>
          <w:tcPr>
            <w:tcW w:w="1699" w:type="dxa"/>
          </w:tcPr>
          <w:p w14:paraId="04940E40" w14:textId="11E1391F" w:rsidR="00504DB0" w:rsidRDefault="00504DB0" w:rsidP="00504DB0">
            <w:pPr>
              <w:jc w:val="both"/>
              <w:rPr>
                <w:rFonts w:ascii="Arial" w:hAnsi="Arial" w:cs="Arial"/>
                <w:sz w:val="24"/>
              </w:rPr>
            </w:pPr>
            <w:r>
              <w:rPr>
                <w:rFonts w:ascii="Arial" w:hAnsi="Arial" w:cs="Arial"/>
                <w:sz w:val="24"/>
              </w:rPr>
              <w:t>Electricity</w:t>
            </w:r>
          </w:p>
        </w:tc>
        <w:tc>
          <w:tcPr>
            <w:tcW w:w="1755" w:type="dxa"/>
          </w:tcPr>
          <w:p w14:paraId="3EF36A9E" w14:textId="0CC183FE" w:rsidR="00504DB0" w:rsidRDefault="00F84E94" w:rsidP="005A0F33">
            <w:pPr>
              <w:jc w:val="right"/>
              <w:rPr>
                <w:rFonts w:ascii="Arial" w:hAnsi="Arial" w:cs="Arial"/>
                <w:sz w:val="24"/>
              </w:rPr>
            </w:pPr>
            <w:r>
              <w:rPr>
                <w:rFonts w:ascii="Arial" w:hAnsi="Arial" w:cs="Arial"/>
                <w:sz w:val="24"/>
              </w:rPr>
              <w:t>3,048,042</w:t>
            </w:r>
          </w:p>
        </w:tc>
        <w:tc>
          <w:tcPr>
            <w:tcW w:w="1751" w:type="dxa"/>
          </w:tcPr>
          <w:p w14:paraId="1B4E002C" w14:textId="034518D0" w:rsidR="00504DB0" w:rsidRDefault="00F84E94" w:rsidP="005A0F33">
            <w:pPr>
              <w:jc w:val="right"/>
              <w:rPr>
                <w:rFonts w:ascii="Arial" w:hAnsi="Arial" w:cs="Arial"/>
                <w:sz w:val="24"/>
              </w:rPr>
            </w:pPr>
            <w:r>
              <w:rPr>
                <w:rFonts w:ascii="Arial" w:hAnsi="Arial" w:cs="Arial"/>
                <w:sz w:val="24"/>
              </w:rPr>
              <w:t>647.19</w:t>
            </w:r>
          </w:p>
        </w:tc>
        <w:tc>
          <w:tcPr>
            <w:tcW w:w="1755" w:type="dxa"/>
          </w:tcPr>
          <w:p w14:paraId="1A696A7C" w14:textId="7D83FE7C" w:rsidR="00504DB0" w:rsidRDefault="00F84E94" w:rsidP="005A0F33">
            <w:pPr>
              <w:jc w:val="right"/>
              <w:rPr>
                <w:rFonts w:ascii="Arial" w:hAnsi="Arial" w:cs="Arial"/>
                <w:sz w:val="24"/>
              </w:rPr>
            </w:pPr>
            <w:r>
              <w:rPr>
                <w:rFonts w:ascii="Arial" w:hAnsi="Arial" w:cs="Arial"/>
                <w:sz w:val="24"/>
              </w:rPr>
              <w:t>3,426</w:t>
            </w:r>
            <w:r w:rsidR="00590A82">
              <w:rPr>
                <w:rFonts w:ascii="Arial" w:hAnsi="Arial" w:cs="Arial"/>
                <w:sz w:val="24"/>
              </w:rPr>
              <w:t>,955</w:t>
            </w:r>
          </w:p>
        </w:tc>
        <w:tc>
          <w:tcPr>
            <w:tcW w:w="1699" w:type="dxa"/>
          </w:tcPr>
          <w:p w14:paraId="5926C9FF" w14:textId="1E3A698A" w:rsidR="00504DB0" w:rsidRDefault="00590A82" w:rsidP="005A0F33">
            <w:pPr>
              <w:jc w:val="right"/>
              <w:rPr>
                <w:rFonts w:ascii="Arial" w:hAnsi="Arial" w:cs="Arial"/>
                <w:sz w:val="24"/>
              </w:rPr>
            </w:pPr>
            <w:r>
              <w:rPr>
                <w:rFonts w:ascii="Arial" w:hAnsi="Arial" w:cs="Arial"/>
                <w:sz w:val="24"/>
              </w:rPr>
              <w:t>727.65</w:t>
            </w:r>
          </w:p>
        </w:tc>
      </w:tr>
      <w:tr w:rsidR="00504DB0" w:rsidRPr="002E5EA2" w14:paraId="5E39527E" w14:textId="77777777" w:rsidTr="00504DB0">
        <w:tc>
          <w:tcPr>
            <w:tcW w:w="1699" w:type="dxa"/>
          </w:tcPr>
          <w:p w14:paraId="3C5D6C6B" w14:textId="09424655" w:rsidR="00504DB0" w:rsidRPr="002E5EA2" w:rsidRDefault="00504DB0" w:rsidP="00504DB0">
            <w:pPr>
              <w:jc w:val="both"/>
              <w:rPr>
                <w:rFonts w:ascii="Arial" w:hAnsi="Arial" w:cs="Arial"/>
                <w:b/>
                <w:bCs/>
                <w:sz w:val="24"/>
              </w:rPr>
            </w:pPr>
            <w:r w:rsidRPr="002E5EA2">
              <w:rPr>
                <w:rFonts w:ascii="Arial" w:hAnsi="Arial" w:cs="Arial"/>
                <w:b/>
                <w:bCs/>
                <w:sz w:val="24"/>
              </w:rPr>
              <w:t>Total</w:t>
            </w:r>
          </w:p>
        </w:tc>
        <w:tc>
          <w:tcPr>
            <w:tcW w:w="1755" w:type="dxa"/>
          </w:tcPr>
          <w:p w14:paraId="67152574" w14:textId="77777777" w:rsidR="00504DB0" w:rsidRPr="002E5EA2" w:rsidRDefault="00504DB0" w:rsidP="005A0F33">
            <w:pPr>
              <w:jc w:val="right"/>
              <w:rPr>
                <w:rFonts w:ascii="Arial" w:hAnsi="Arial" w:cs="Arial"/>
                <w:b/>
                <w:bCs/>
                <w:sz w:val="24"/>
              </w:rPr>
            </w:pPr>
          </w:p>
        </w:tc>
        <w:tc>
          <w:tcPr>
            <w:tcW w:w="1751" w:type="dxa"/>
          </w:tcPr>
          <w:p w14:paraId="314AB227" w14:textId="14D74732" w:rsidR="00504DB0" w:rsidRPr="002E5EA2" w:rsidRDefault="00590A82" w:rsidP="005A0F33">
            <w:pPr>
              <w:jc w:val="right"/>
              <w:rPr>
                <w:rFonts w:ascii="Arial" w:hAnsi="Arial" w:cs="Arial"/>
                <w:b/>
                <w:bCs/>
                <w:sz w:val="24"/>
              </w:rPr>
            </w:pPr>
            <w:r w:rsidRPr="002E5EA2">
              <w:rPr>
                <w:rFonts w:ascii="Arial" w:hAnsi="Arial" w:cs="Arial"/>
                <w:b/>
                <w:bCs/>
                <w:sz w:val="24"/>
              </w:rPr>
              <w:t>2,388.52</w:t>
            </w:r>
          </w:p>
        </w:tc>
        <w:tc>
          <w:tcPr>
            <w:tcW w:w="1755" w:type="dxa"/>
          </w:tcPr>
          <w:p w14:paraId="19A141EF" w14:textId="77777777" w:rsidR="00504DB0" w:rsidRPr="002E5EA2" w:rsidRDefault="00504DB0" w:rsidP="005A0F33">
            <w:pPr>
              <w:jc w:val="right"/>
              <w:rPr>
                <w:rFonts w:ascii="Arial" w:hAnsi="Arial" w:cs="Arial"/>
                <w:b/>
                <w:bCs/>
                <w:sz w:val="24"/>
              </w:rPr>
            </w:pPr>
          </w:p>
        </w:tc>
        <w:tc>
          <w:tcPr>
            <w:tcW w:w="1699" w:type="dxa"/>
          </w:tcPr>
          <w:p w14:paraId="5A6B3767" w14:textId="489427CA" w:rsidR="00504DB0" w:rsidRPr="002E5EA2" w:rsidRDefault="00590A82" w:rsidP="005A0F33">
            <w:pPr>
              <w:jc w:val="right"/>
              <w:rPr>
                <w:rFonts w:ascii="Arial" w:hAnsi="Arial" w:cs="Arial"/>
                <w:b/>
                <w:bCs/>
                <w:sz w:val="24"/>
              </w:rPr>
            </w:pPr>
            <w:r w:rsidRPr="002E5EA2">
              <w:rPr>
                <w:rFonts w:ascii="Arial" w:hAnsi="Arial" w:cs="Arial"/>
                <w:b/>
                <w:bCs/>
                <w:sz w:val="24"/>
              </w:rPr>
              <w:t>2,380.66</w:t>
            </w:r>
          </w:p>
        </w:tc>
      </w:tr>
    </w:tbl>
    <w:p w14:paraId="16ABC739" w14:textId="6A6B4FC1" w:rsidR="00E744DB" w:rsidRDefault="005A0F33" w:rsidP="00085702">
      <w:pPr>
        <w:spacing w:after="0"/>
        <w:ind w:left="357"/>
        <w:jc w:val="both"/>
        <w:rPr>
          <w:rFonts w:ascii="Arial" w:hAnsi="Arial" w:cs="Arial"/>
          <w:sz w:val="18"/>
          <w:szCs w:val="18"/>
        </w:rPr>
      </w:pPr>
      <w:r w:rsidRPr="00307E0B">
        <w:rPr>
          <w:rFonts w:ascii="Arial" w:hAnsi="Arial" w:cs="Arial"/>
          <w:sz w:val="18"/>
          <w:szCs w:val="18"/>
        </w:rPr>
        <w:t xml:space="preserve">Based on </w:t>
      </w:r>
      <w:r w:rsidR="00307E0B" w:rsidRPr="00307E0B">
        <w:rPr>
          <w:rFonts w:ascii="Arial" w:hAnsi="Arial" w:cs="Arial"/>
          <w:sz w:val="18"/>
          <w:szCs w:val="18"/>
        </w:rPr>
        <w:t>data from myZenergi portal</w:t>
      </w:r>
    </w:p>
    <w:p w14:paraId="12A0214B" w14:textId="70BF87D8" w:rsidR="00307E0B" w:rsidRPr="00307E0B" w:rsidRDefault="00307E0B" w:rsidP="00085702">
      <w:pPr>
        <w:spacing w:after="0"/>
        <w:ind w:left="357"/>
        <w:jc w:val="both"/>
        <w:rPr>
          <w:rFonts w:ascii="Arial" w:hAnsi="Arial" w:cs="Arial"/>
          <w:sz w:val="18"/>
          <w:szCs w:val="18"/>
        </w:rPr>
      </w:pPr>
      <w:r>
        <w:rPr>
          <w:rFonts w:ascii="Arial" w:hAnsi="Arial" w:cs="Arial"/>
          <w:sz w:val="18"/>
          <w:szCs w:val="18"/>
        </w:rPr>
        <w:t>*</w:t>
      </w:r>
      <w:r w:rsidR="00085702">
        <w:rPr>
          <w:rFonts w:ascii="Arial" w:hAnsi="Arial" w:cs="Arial"/>
          <w:sz w:val="18"/>
          <w:szCs w:val="18"/>
        </w:rPr>
        <w:t>Data for August 2022 not yet available, assumed equivalent to August 2021</w:t>
      </w:r>
    </w:p>
    <w:p w14:paraId="6B91C37A" w14:textId="77777777" w:rsidR="00DC66FE" w:rsidRDefault="00DC66FE" w:rsidP="00C6167F">
      <w:pPr>
        <w:ind w:left="357"/>
        <w:jc w:val="both"/>
        <w:rPr>
          <w:rFonts w:ascii="Arial" w:hAnsi="Arial" w:cs="Arial"/>
          <w:sz w:val="24"/>
        </w:rPr>
      </w:pPr>
    </w:p>
    <w:p w14:paraId="4D8ABA6C" w14:textId="681B40E1" w:rsidR="002E5EA2" w:rsidRDefault="002E5EA2" w:rsidP="00C6167F">
      <w:pPr>
        <w:ind w:left="357"/>
        <w:jc w:val="both"/>
        <w:rPr>
          <w:rFonts w:ascii="Arial" w:hAnsi="Arial" w:cs="Arial"/>
          <w:sz w:val="24"/>
        </w:rPr>
      </w:pPr>
      <w:r>
        <w:rPr>
          <w:rFonts w:ascii="Arial" w:hAnsi="Arial" w:cs="Arial"/>
          <w:sz w:val="24"/>
        </w:rPr>
        <w:t>Once final data is received 2021/22 will be taken as the baseline against which the Trust will formally start to measure its progress.</w:t>
      </w:r>
    </w:p>
    <w:p w14:paraId="7B025A6C" w14:textId="1BB4FDCF" w:rsidR="00666D4B" w:rsidRDefault="00666D4B" w:rsidP="000A4865">
      <w:pPr>
        <w:pStyle w:val="Heading2"/>
      </w:pPr>
      <w:bookmarkStart w:id="6" w:name="_Toc114170226"/>
      <w:r w:rsidRPr="000A4865">
        <w:t>Summary of actions completed</w:t>
      </w:r>
      <w:bookmarkEnd w:id="6"/>
    </w:p>
    <w:p w14:paraId="19DD3C68" w14:textId="2CE0A419" w:rsidR="000A4865" w:rsidRDefault="000A4865" w:rsidP="000A4865">
      <w:pPr>
        <w:rPr>
          <w:rFonts w:ascii="Arial" w:hAnsi="Arial" w:cs="Arial"/>
          <w:sz w:val="24"/>
        </w:rPr>
      </w:pPr>
      <w:r w:rsidRPr="003E0997">
        <w:rPr>
          <w:rFonts w:ascii="Arial" w:hAnsi="Arial" w:cs="Arial"/>
          <w:sz w:val="24"/>
        </w:rPr>
        <w:t xml:space="preserve">The following actions have been taken </w:t>
      </w:r>
      <w:r w:rsidR="003E0997" w:rsidRPr="003E0997">
        <w:rPr>
          <w:rFonts w:ascii="Arial" w:hAnsi="Arial" w:cs="Arial"/>
          <w:sz w:val="24"/>
        </w:rPr>
        <w:t>since the Trust expanded significantly in 2020</w:t>
      </w:r>
    </w:p>
    <w:p w14:paraId="62ADE6CF" w14:textId="77777777" w:rsidR="006A709B" w:rsidRDefault="006A709B" w:rsidP="000A4865">
      <w:pPr>
        <w:rPr>
          <w:rFonts w:ascii="Arial" w:hAnsi="Arial" w:cs="Arial"/>
          <w:sz w:val="24"/>
        </w:rPr>
      </w:pPr>
    </w:p>
    <w:p w14:paraId="1F1BAA92" w14:textId="77777777" w:rsidR="006A709B" w:rsidRDefault="006A709B" w:rsidP="000A4865">
      <w:pPr>
        <w:rPr>
          <w:rFonts w:ascii="Arial" w:hAnsi="Arial" w:cs="Arial"/>
          <w:sz w:val="24"/>
        </w:rPr>
      </w:pPr>
    </w:p>
    <w:p w14:paraId="49DCC0DD" w14:textId="77777777" w:rsidR="006A709B" w:rsidRDefault="006A709B" w:rsidP="000A4865">
      <w:pPr>
        <w:rPr>
          <w:rFonts w:ascii="Arial" w:hAnsi="Arial" w:cs="Arial"/>
          <w:sz w:val="24"/>
        </w:rPr>
      </w:pPr>
    </w:p>
    <w:p w14:paraId="06202FDE" w14:textId="77777777" w:rsidR="006A709B" w:rsidRDefault="006A709B" w:rsidP="000A4865">
      <w:pPr>
        <w:rPr>
          <w:rFonts w:ascii="Arial" w:hAnsi="Arial" w:cs="Arial"/>
          <w:sz w:val="24"/>
        </w:rPr>
      </w:pPr>
    </w:p>
    <w:p w14:paraId="7349FCBD" w14:textId="77777777" w:rsidR="006A709B" w:rsidRPr="003E0997" w:rsidRDefault="006A709B" w:rsidP="000A4865">
      <w:pPr>
        <w:rPr>
          <w:rFonts w:ascii="Arial" w:hAnsi="Arial" w:cs="Arial"/>
          <w:sz w:val="24"/>
        </w:rPr>
      </w:pPr>
    </w:p>
    <w:tbl>
      <w:tblPr>
        <w:tblStyle w:val="TableGrid"/>
        <w:tblW w:w="8788" w:type="dxa"/>
        <w:tblInd w:w="279" w:type="dxa"/>
        <w:tblLook w:val="04A0" w:firstRow="1" w:lastRow="0" w:firstColumn="1" w:lastColumn="0" w:noHBand="0" w:noVBand="1"/>
      </w:tblPr>
      <w:tblGrid>
        <w:gridCol w:w="2197"/>
        <w:gridCol w:w="2197"/>
        <w:gridCol w:w="2197"/>
        <w:gridCol w:w="2197"/>
      </w:tblGrid>
      <w:tr w:rsidR="00D17F3E" w:rsidRPr="006A709B" w14:paraId="7C459915" w14:textId="77777777" w:rsidTr="00CB7E4B">
        <w:tc>
          <w:tcPr>
            <w:tcW w:w="2197" w:type="dxa"/>
          </w:tcPr>
          <w:p w14:paraId="312774D5" w14:textId="77777777" w:rsidR="00D17F3E" w:rsidRPr="006A709B" w:rsidRDefault="00D17F3E" w:rsidP="00CB7E4B">
            <w:pPr>
              <w:jc w:val="center"/>
              <w:rPr>
                <w:rFonts w:ascii="Arial" w:hAnsi="Arial" w:cs="Arial"/>
                <w:b/>
                <w:bCs/>
                <w:sz w:val="20"/>
                <w:szCs w:val="20"/>
              </w:rPr>
            </w:pPr>
            <w:r w:rsidRPr="006A709B">
              <w:rPr>
                <w:rFonts w:ascii="Arial" w:hAnsi="Arial" w:cs="Arial"/>
                <w:b/>
                <w:bCs/>
                <w:sz w:val="20"/>
                <w:szCs w:val="20"/>
              </w:rPr>
              <w:lastRenderedPageBreak/>
              <w:t>Energy Procurement</w:t>
            </w:r>
          </w:p>
        </w:tc>
        <w:tc>
          <w:tcPr>
            <w:tcW w:w="2197" w:type="dxa"/>
          </w:tcPr>
          <w:p w14:paraId="51B9E8FE" w14:textId="77777777" w:rsidR="00D17F3E" w:rsidRPr="006A709B" w:rsidRDefault="00D17F3E" w:rsidP="00CB7E4B">
            <w:pPr>
              <w:jc w:val="center"/>
              <w:rPr>
                <w:rFonts w:ascii="Arial" w:hAnsi="Arial" w:cs="Arial"/>
                <w:b/>
                <w:bCs/>
                <w:sz w:val="20"/>
                <w:szCs w:val="20"/>
              </w:rPr>
            </w:pPr>
            <w:r w:rsidRPr="006A709B">
              <w:rPr>
                <w:rFonts w:ascii="Arial" w:hAnsi="Arial" w:cs="Arial"/>
                <w:b/>
                <w:bCs/>
                <w:sz w:val="20"/>
                <w:szCs w:val="20"/>
              </w:rPr>
              <w:t>Reduction in Energy Consumption</w:t>
            </w:r>
          </w:p>
        </w:tc>
        <w:tc>
          <w:tcPr>
            <w:tcW w:w="2197" w:type="dxa"/>
          </w:tcPr>
          <w:p w14:paraId="642C3B67" w14:textId="77777777" w:rsidR="00D17F3E" w:rsidRPr="006A709B" w:rsidRDefault="00D17F3E" w:rsidP="00CB7E4B">
            <w:pPr>
              <w:jc w:val="center"/>
              <w:rPr>
                <w:rFonts w:ascii="Arial" w:hAnsi="Arial" w:cs="Arial"/>
                <w:b/>
                <w:bCs/>
                <w:sz w:val="20"/>
                <w:szCs w:val="20"/>
              </w:rPr>
            </w:pPr>
            <w:r w:rsidRPr="006A709B">
              <w:rPr>
                <w:rFonts w:ascii="Arial" w:hAnsi="Arial" w:cs="Arial"/>
                <w:b/>
                <w:bCs/>
                <w:sz w:val="20"/>
                <w:szCs w:val="20"/>
              </w:rPr>
              <w:t>Generating Energy</w:t>
            </w:r>
          </w:p>
        </w:tc>
        <w:tc>
          <w:tcPr>
            <w:tcW w:w="2197" w:type="dxa"/>
          </w:tcPr>
          <w:p w14:paraId="0FEFC42D" w14:textId="77777777" w:rsidR="00D17F3E" w:rsidRPr="006A709B" w:rsidRDefault="00D17F3E" w:rsidP="00CB7E4B">
            <w:pPr>
              <w:jc w:val="center"/>
              <w:rPr>
                <w:rFonts w:ascii="Arial" w:hAnsi="Arial" w:cs="Arial"/>
                <w:b/>
                <w:bCs/>
                <w:sz w:val="20"/>
                <w:szCs w:val="20"/>
              </w:rPr>
            </w:pPr>
            <w:r w:rsidRPr="006A709B">
              <w:rPr>
                <w:rFonts w:ascii="Arial" w:hAnsi="Arial" w:cs="Arial"/>
                <w:b/>
                <w:bCs/>
                <w:sz w:val="20"/>
                <w:szCs w:val="20"/>
              </w:rPr>
              <w:t>Embedding Behavioural Change</w:t>
            </w:r>
          </w:p>
        </w:tc>
      </w:tr>
      <w:tr w:rsidR="00D17F3E" w:rsidRPr="006A709B" w14:paraId="50BFE360" w14:textId="77777777" w:rsidTr="00CB7E4B">
        <w:tc>
          <w:tcPr>
            <w:tcW w:w="2197" w:type="dxa"/>
          </w:tcPr>
          <w:p w14:paraId="150EB750" w14:textId="19A3FC0A" w:rsidR="00D17F3E" w:rsidRPr="006A709B" w:rsidRDefault="0028749F" w:rsidP="00A42670">
            <w:pPr>
              <w:rPr>
                <w:rFonts w:ascii="Arial" w:hAnsi="Arial" w:cs="Arial"/>
                <w:sz w:val="20"/>
                <w:szCs w:val="20"/>
              </w:rPr>
            </w:pPr>
            <w:r w:rsidRPr="006A709B">
              <w:rPr>
                <w:rFonts w:ascii="Arial" w:hAnsi="Arial" w:cs="Arial"/>
                <w:sz w:val="20"/>
                <w:szCs w:val="20"/>
              </w:rPr>
              <w:t>Schools consolidated into a single procurement</w:t>
            </w:r>
            <w:r w:rsidR="009F7118">
              <w:rPr>
                <w:rFonts w:ascii="Arial" w:hAnsi="Arial" w:cs="Arial"/>
                <w:sz w:val="20"/>
                <w:szCs w:val="20"/>
              </w:rPr>
              <w:t xml:space="preserve"> with aligned contract periods</w:t>
            </w:r>
            <w:r w:rsidR="00E605D0">
              <w:rPr>
                <w:rFonts w:ascii="Arial" w:hAnsi="Arial" w:cs="Arial"/>
                <w:sz w:val="20"/>
                <w:szCs w:val="20"/>
              </w:rPr>
              <w:t>.</w:t>
            </w:r>
          </w:p>
        </w:tc>
        <w:tc>
          <w:tcPr>
            <w:tcW w:w="2197" w:type="dxa"/>
          </w:tcPr>
          <w:p w14:paraId="709B3520" w14:textId="775017AF" w:rsidR="00D17F3E" w:rsidRPr="006A709B" w:rsidRDefault="00A42670" w:rsidP="00A42670">
            <w:pPr>
              <w:rPr>
                <w:rFonts w:ascii="Arial" w:hAnsi="Arial" w:cs="Arial"/>
                <w:sz w:val="20"/>
                <w:szCs w:val="20"/>
              </w:rPr>
            </w:pPr>
            <w:r w:rsidRPr="006A709B">
              <w:rPr>
                <w:rFonts w:ascii="Arial" w:hAnsi="Arial" w:cs="Arial"/>
                <w:sz w:val="20"/>
                <w:szCs w:val="20"/>
              </w:rPr>
              <w:t xml:space="preserve">SCA </w:t>
            </w:r>
            <w:r w:rsidR="001F2675" w:rsidRPr="006A709B">
              <w:rPr>
                <w:rFonts w:ascii="Arial" w:hAnsi="Arial" w:cs="Arial"/>
                <w:sz w:val="20"/>
                <w:szCs w:val="20"/>
              </w:rPr>
              <w:t xml:space="preserve">and legacy CIF projects </w:t>
            </w:r>
            <w:r w:rsidRPr="006A709B">
              <w:rPr>
                <w:rFonts w:ascii="Arial" w:hAnsi="Arial" w:cs="Arial"/>
                <w:sz w:val="20"/>
                <w:szCs w:val="20"/>
              </w:rPr>
              <w:t xml:space="preserve">projects have targeted </w:t>
            </w:r>
            <w:r w:rsidR="001F2675" w:rsidRPr="006A709B">
              <w:rPr>
                <w:rFonts w:ascii="Arial" w:hAnsi="Arial" w:cs="Arial"/>
                <w:sz w:val="20"/>
                <w:szCs w:val="20"/>
              </w:rPr>
              <w:t>reduction in energy consumption and have included – LED lighting; new windows; new boilers; point of use water heating; and heating</w:t>
            </w:r>
            <w:r w:rsidR="00305DB8" w:rsidRPr="006A709B">
              <w:rPr>
                <w:rFonts w:ascii="Arial" w:hAnsi="Arial" w:cs="Arial"/>
                <w:sz w:val="20"/>
                <w:szCs w:val="20"/>
              </w:rPr>
              <w:t xml:space="preserve"> system and controller</w:t>
            </w:r>
            <w:r w:rsidR="001F2675" w:rsidRPr="006A709B">
              <w:rPr>
                <w:rFonts w:ascii="Arial" w:hAnsi="Arial" w:cs="Arial"/>
                <w:sz w:val="20"/>
                <w:szCs w:val="20"/>
              </w:rPr>
              <w:t xml:space="preserve"> </w:t>
            </w:r>
            <w:r w:rsidR="00305DB8" w:rsidRPr="006A709B">
              <w:rPr>
                <w:rFonts w:ascii="Arial" w:hAnsi="Arial" w:cs="Arial"/>
                <w:sz w:val="20"/>
                <w:szCs w:val="20"/>
              </w:rPr>
              <w:t>upgrades</w:t>
            </w:r>
          </w:p>
        </w:tc>
        <w:tc>
          <w:tcPr>
            <w:tcW w:w="2197" w:type="dxa"/>
          </w:tcPr>
          <w:p w14:paraId="0D520E41" w14:textId="1CB2CD06" w:rsidR="00D17F3E" w:rsidRPr="006A709B" w:rsidRDefault="009F7886" w:rsidP="00A42670">
            <w:pPr>
              <w:rPr>
                <w:rFonts w:ascii="Arial" w:hAnsi="Arial" w:cs="Arial"/>
                <w:sz w:val="20"/>
                <w:szCs w:val="20"/>
              </w:rPr>
            </w:pPr>
            <w:r w:rsidRPr="006A709B">
              <w:rPr>
                <w:rFonts w:ascii="Arial" w:hAnsi="Arial" w:cs="Arial"/>
                <w:sz w:val="20"/>
                <w:szCs w:val="20"/>
              </w:rPr>
              <w:t>Re-commissioning panel systems which were not working (eg Bassingbourn</w:t>
            </w:r>
            <w:r w:rsidR="00367C16" w:rsidRPr="006A709B">
              <w:rPr>
                <w:rFonts w:ascii="Arial" w:hAnsi="Arial" w:cs="Arial"/>
                <w:sz w:val="20"/>
                <w:szCs w:val="20"/>
              </w:rPr>
              <w:t>)</w:t>
            </w:r>
          </w:p>
        </w:tc>
        <w:tc>
          <w:tcPr>
            <w:tcW w:w="2197" w:type="dxa"/>
          </w:tcPr>
          <w:p w14:paraId="1FF99062" w14:textId="54310EA0" w:rsidR="00D17F3E" w:rsidRPr="006A709B" w:rsidRDefault="00F45301" w:rsidP="00A42670">
            <w:pPr>
              <w:rPr>
                <w:rFonts w:ascii="Arial" w:hAnsi="Arial" w:cs="Arial"/>
                <w:sz w:val="20"/>
                <w:szCs w:val="20"/>
              </w:rPr>
            </w:pPr>
            <w:r w:rsidRPr="006A709B">
              <w:rPr>
                <w:rFonts w:ascii="Arial" w:hAnsi="Arial" w:cs="Arial"/>
                <w:sz w:val="20"/>
                <w:szCs w:val="20"/>
              </w:rPr>
              <w:t>Creation of eco-groups at academy level and Climate Change Strategic Group to increase focus on issues</w:t>
            </w:r>
          </w:p>
          <w:p w14:paraId="4424BEFE" w14:textId="77777777" w:rsidR="00D17F3E" w:rsidRPr="006A709B" w:rsidRDefault="00D17F3E" w:rsidP="00A42670">
            <w:pPr>
              <w:rPr>
                <w:rFonts w:ascii="Arial" w:hAnsi="Arial" w:cs="Arial"/>
                <w:sz w:val="20"/>
                <w:szCs w:val="20"/>
              </w:rPr>
            </w:pPr>
          </w:p>
        </w:tc>
      </w:tr>
      <w:tr w:rsidR="002E5EA2" w:rsidRPr="006A709B" w14:paraId="6B49641E" w14:textId="77777777" w:rsidTr="00CB7E4B">
        <w:tc>
          <w:tcPr>
            <w:tcW w:w="2197" w:type="dxa"/>
          </w:tcPr>
          <w:p w14:paraId="60ECC273" w14:textId="12BD85BB" w:rsidR="002E5EA2" w:rsidRPr="006A709B" w:rsidRDefault="00E605D0" w:rsidP="00E605D0">
            <w:pPr>
              <w:rPr>
                <w:rFonts w:ascii="Arial" w:hAnsi="Arial" w:cs="Arial"/>
                <w:sz w:val="20"/>
                <w:szCs w:val="20"/>
              </w:rPr>
            </w:pPr>
            <w:r>
              <w:rPr>
                <w:rFonts w:ascii="Arial" w:hAnsi="Arial" w:cs="Arial"/>
                <w:sz w:val="20"/>
                <w:szCs w:val="20"/>
              </w:rPr>
              <w:t>Procured contract with energy portal including data</w:t>
            </w:r>
          </w:p>
        </w:tc>
        <w:tc>
          <w:tcPr>
            <w:tcW w:w="2197" w:type="dxa"/>
          </w:tcPr>
          <w:p w14:paraId="75EC996E" w14:textId="0AC9B3B9" w:rsidR="002E5EA2" w:rsidRPr="006A709B" w:rsidRDefault="008E3D51" w:rsidP="008E3D51">
            <w:pPr>
              <w:rPr>
                <w:rFonts w:ascii="Arial" w:hAnsi="Arial" w:cs="Arial"/>
                <w:sz w:val="20"/>
                <w:szCs w:val="20"/>
              </w:rPr>
            </w:pPr>
            <w:r w:rsidRPr="006A709B">
              <w:rPr>
                <w:rFonts w:ascii="Arial" w:hAnsi="Arial" w:cs="Arial"/>
                <w:sz w:val="20"/>
                <w:szCs w:val="20"/>
              </w:rPr>
              <w:t>Project to consolidate servers and upgrade to new, more energy efficient systems</w:t>
            </w:r>
          </w:p>
        </w:tc>
        <w:tc>
          <w:tcPr>
            <w:tcW w:w="2197" w:type="dxa"/>
          </w:tcPr>
          <w:p w14:paraId="10C70122" w14:textId="12802757" w:rsidR="002E5EA2" w:rsidRPr="006A709B" w:rsidRDefault="006152FA" w:rsidP="001514AC">
            <w:pPr>
              <w:rPr>
                <w:rFonts w:ascii="Arial" w:hAnsi="Arial" w:cs="Arial"/>
                <w:sz w:val="20"/>
                <w:szCs w:val="20"/>
              </w:rPr>
            </w:pPr>
            <w:r w:rsidRPr="006A709B">
              <w:rPr>
                <w:rFonts w:ascii="Arial" w:hAnsi="Arial" w:cs="Arial"/>
                <w:sz w:val="20"/>
                <w:szCs w:val="20"/>
              </w:rPr>
              <w:t xml:space="preserve">Obtained </w:t>
            </w:r>
            <w:r w:rsidR="001514AC" w:rsidRPr="006A709B">
              <w:rPr>
                <w:rFonts w:ascii="Arial" w:hAnsi="Arial" w:cs="Arial"/>
                <w:sz w:val="20"/>
                <w:szCs w:val="20"/>
              </w:rPr>
              <w:t>a quotation for a Power Purchase Agreement with an Energy Co-op and sought legal and procurement advice</w:t>
            </w:r>
          </w:p>
        </w:tc>
        <w:tc>
          <w:tcPr>
            <w:tcW w:w="2197" w:type="dxa"/>
          </w:tcPr>
          <w:p w14:paraId="3D8325AE" w14:textId="207813D2" w:rsidR="002E5EA2" w:rsidRPr="006A709B" w:rsidRDefault="00367C16" w:rsidP="000C3E51">
            <w:pPr>
              <w:rPr>
                <w:rFonts w:ascii="Arial" w:hAnsi="Arial" w:cs="Arial"/>
                <w:sz w:val="20"/>
                <w:szCs w:val="20"/>
              </w:rPr>
            </w:pPr>
            <w:r w:rsidRPr="006A709B">
              <w:rPr>
                <w:rFonts w:ascii="Arial" w:hAnsi="Arial" w:cs="Arial"/>
                <w:sz w:val="20"/>
                <w:szCs w:val="20"/>
              </w:rPr>
              <w:t>Joining Energy Spark</w:t>
            </w:r>
            <w:r w:rsidR="000C3E51" w:rsidRPr="006A709B">
              <w:rPr>
                <w:rFonts w:ascii="Arial" w:hAnsi="Arial" w:cs="Arial"/>
                <w:sz w:val="20"/>
                <w:szCs w:val="20"/>
              </w:rPr>
              <w:t xml:space="preserve">s Education Programme </w:t>
            </w:r>
          </w:p>
        </w:tc>
      </w:tr>
      <w:tr w:rsidR="00F45301" w:rsidRPr="006A709B" w14:paraId="63F883EE" w14:textId="77777777" w:rsidTr="00CB7E4B">
        <w:tc>
          <w:tcPr>
            <w:tcW w:w="2197" w:type="dxa"/>
          </w:tcPr>
          <w:p w14:paraId="742B1EDA" w14:textId="77777777" w:rsidR="00F45301" w:rsidRPr="006A709B" w:rsidRDefault="00F45301" w:rsidP="00CB7E4B">
            <w:pPr>
              <w:jc w:val="center"/>
              <w:rPr>
                <w:rFonts w:ascii="Arial" w:hAnsi="Arial" w:cs="Arial"/>
                <w:sz w:val="20"/>
                <w:szCs w:val="20"/>
              </w:rPr>
            </w:pPr>
          </w:p>
        </w:tc>
        <w:tc>
          <w:tcPr>
            <w:tcW w:w="2197" w:type="dxa"/>
          </w:tcPr>
          <w:p w14:paraId="354B826A" w14:textId="02B48528" w:rsidR="00F45301" w:rsidRPr="006A709B" w:rsidRDefault="00F45301" w:rsidP="008E3D51">
            <w:pPr>
              <w:rPr>
                <w:rFonts w:ascii="Arial" w:hAnsi="Arial" w:cs="Arial"/>
                <w:sz w:val="20"/>
                <w:szCs w:val="20"/>
              </w:rPr>
            </w:pPr>
            <w:r w:rsidRPr="006A709B">
              <w:rPr>
                <w:rFonts w:ascii="Arial" w:hAnsi="Arial" w:cs="Arial"/>
                <w:sz w:val="20"/>
                <w:szCs w:val="20"/>
              </w:rPr>
              <w:t>Replacement of older classroom screens with newer, more energy efficient models – some of which can be managed centrally</w:t>
            </w:r>
          </w:p>
        </w:tc>
        <w:tc>
          <w:tcPr>
            <w:tcW w:w="2197" w:type="dxa"/>
          </w:tcPr>
          <w:p w14:paraId="2CD6E1AB" w14:textId="77777777" w:rsidR="00F45301" w:rsidRPr="006A709B" w:rsidRDefault="00F45301" w:rsidP="00CB7E4B">
            <w:pPr>
              <w:jc w:val="center"/>
              <w:rPr>
                <w:rFonts w:ascii="Arial" w:hAnsi="Arial" w:cs="Arial"/>
                <w:sz w:val="20"/>
                <w:szCs w:val="20"/>
              </w:rPr>
            </w:pPr>
          </w:p>
        </w:tc>
        <w:tc>
          <w:tcPr>
            <w:tcW w:w="2197" w:type="dxa"/>
          </w:tcPr>
          <w:p w14:paraId="4A9C29B3" w14:textId="77777777" w:rsidR="00F45301" w:rsidRPr="006A709B" w:rsidRDefault="00F45301" w:rsidP="00CB7E4B">
            <w:pPr>
              <w:jc w:val="center"/>
              <w:rPr>
                <w:rFonts w:ascii="Arial" w:hAnsi="Arial" w:cs="Arial"/>
                <w:sz w:val="20"/>
                <w:szCs w:val="20"/>
              </w:rPr>
            </w:pPr>
          </w:p>
        </w:tc>
      </w:tr>
      <w:tr w:rsidR="002E5EA2" w:rsidRPr="006A709B" w14:paraId="460CA738" w14:textId="77777777" w:rsidTr="00CB7E4B">
        <w:tc>
          <w:tcPr>
            <w:tcW w:w="2197" w:type="dxa"/>
          </w:tcPr>
          <w:p w14:paraId="251D78B5" w14:textId="77777777" w:rsidR="002E5EA2" w:rsidRPr="006A709B" w:rsidRDefault="002E5EA2" w:rsidP="00CB7E4B">
            <w:pPr>
              <w:jc w:val="center"/>
              <w:rPr>
                <w:rFonts w:ascii="Arial" w:hAnsi="Arial" w:cs="Arial"/>
                <w:sz w:val="20"/>
                <w:szCs w:val="20"/>
              </w:rPr>
            </w:pPr>
          </w:p>
        </w:tc>
        <w:tc>
          <w:tcPr>
            <w:tcW w:w="2197" w:type="dxa"/>
          </w:tcPr>
          <w:p w14:paraId="76AC7B56" w14:textId="198A3766" w:rsidR="002E5EA2" w:rsidRPr="006A709B" w:rsidRDefault="008E3D51" w:rsidP="008E3D51">
            <w:pPr>
              <w:rPr>
                <w:rFonts w:ascii="Arial" w:hAnsi="Arial" w:cs="Arial"/>
                <w:sz w:val="20"/>
                <w:szCs w:val="20"/>
              </w:rPr>
            </w:pPr>
            <w:r w:rsidRPr="006A709B">
              <w:rPr>
                <w:rFonts w:ascii="Arial" w:hAnsi="Arial" w:cs="Arial"/>
                <w:sz w:val="20"/>
                <w:szCs w:val="20"/>
              </w:rPr>
              <w:t xml:space="preserve">Energy audits undertaken </w:t>
            </w:r>
            <w:r w:rsidR="00622085" w:rsidRPr="006A709B">
              <w:rPr>
                <w:rFonts w:ascii="Arial" w:hAnsi="Arial" w:cs="Arial"/>
                <w:sz w:val="20"/>
                <w:szCs w:val="20"/>
              </w:rPr>
              <w:t>with funding from Salix</w:t>
            </w:r>
          </w:p>
        </w:tc>
        <w:tc>
          <w:tcPr>
            <w:tcW w:w="2197" w:type="dxa"/>
          </w:tcPr>
          <w:p w14:paraId="52048C4D" w14:textId="77777777" w:rsidR="002E5EA2" w:rsidRPr="006A709B" w:rsidRDefault="002E5EA2" w:rsidP="00CB7E4B">
            <w:pPr>
              <w:jc w:val="center"/>
              <w:rPr>
                <w:rFonts w:ascii="Arial" w:hAnsi="Arial" w:cs="Arial"/>
                <w:sz w:val="20"/>
                <w:szCs w:val="20"/>
              </w:rPr>
            </w:pPr>
          </w:p>
        </w:tc>
        <w:tc>
          <w:tcPr>
            <w:tcW w:w="2197" w:type="dxa"/>
          </w:tcPr>
          <w:p w14:paraId="13873BC5" w14:textId="77777777" w:rsidR="002E5EA2" w:rsidRPr="006A709B" w:rsidRDefault="002E5EA2" w:rsidP="00CB7E4B">
            <w:pPr>
              <w:jc w:val="center"/>
              <w:rPr>
                <w:rFonts w:ascii="Arial" w:hAnsi="Arial" w:cs="Arial"/>
                <w:sz w:val="20"/>
                <w:szCs w:val="20"/>
              </w:rPr>
            </w:pPr>
          </w:p>
        </w:tc>
      </w:tr>
      <w:tr w:rsidR="001514AC" w:rsidRPr="006A709B" w14:paraId="7FDD806F" w14:textId="77777777" w:rsidTr="00CB7E4B">
        <w:tc>
          <w:tcPr>
            <w:tcW w:w="2197" w:type="dxa"/>
          </w:tcPr>
          <w:p w14:paraId="1158E695" w14:textId="77777777" w:rsidR="001514AC" w:rsidRPr="006A709B" w:rsidRDefault="001514AC" w:rsidP="00CB7E4B">
            <w:pPr>
              <w:jc w:val="center"/>
              <w:rPr>
                <w:rFonts w:ascii="Arial" w:hAnsi="Arial" w:cs="Arial"/>
                <w:sz w:val="20"/>
                <w:szCs w:val="20"/>
              </w:rPr>
            </w:pPr>
          </w:p>
        </w:tc>
        <w:tc>
          <w:tcPr>
            <w:tcW w:w="2197" w:type="dxa"/>
          </w:tcPr>
          <w:p w14:paraId="1A9295E8" w14:textId="787AE13C" w:rsidR="001514AC" w:rsidRPr="006A709B" w:rsidRDefault="001514AC" w:rsidP="008E3D51">
            <w:pPr>
              <w:rPr>
                <w:rFonts w:ascii="Arial" w:hAnsi="Arial" w:cs="Arial"/>
                <w:sz w:val="20"/>
                <w:szCs w:val="20"/>
              </w:rPr>
            </w:pPr>
            <w:r w:rsidRPr="006A709B">
              <w:rPr>
                <w:rFonts w:ascii="Arial" w:hAnsi="Arial" w:cs="Arial"/>
                <w:sz w:val="20"/>
                <w:szCs w:val="20"/>
              </w:rPr>
              <w:t>Developed a scheme to decarbonise Howard Community Academy with a proposed application to the PSD</w:t>
            </w:r>
            <w:r w:rsidR="008E2631" w:rsidRPr="006A709B">
              <w:rPr>
                <w:rFonts w:ascii="Arial" w:hAnsi="Arial" w:cs="Arial"/>
                <w:sz w:val="20"/>
                <w:szCs w:val="20"/>
              </w:rPr>
              <w:t>S in Autumn 2022</w:t>
            </w:r>
          </w:p>
        </w:tc>
        <w:tc>
          <w:tcPr>
            <w:tcW w:w="2197" w:type="dxa"/>
          </w:tcPr>
          <w:p w14:paraId="048DAC78" w14:textId="77777777" w:rsidR="001514AC" w:rsidRPr="006A709B" w:rsidRDefault="001514AC" w:rsidP="00CB7E4B">
            <w:pPr>
              <w:jc w:val="center"/>
              <w:rPr>
                <w:rFonts w:ascii="Arial" w:hAnsi="Arial" w:cs="Arial"/>
                <w:sz w:val="20"/>
                <w:szCs w:val="20"/>
              </w:rPr>
            </w:pPr>
          </w:p>
        </w:tc>
        <w:tc>
          <w:tcPr>
            <w:tcW w:w="2197" w:type="dxa"/>
          </w:tcPr>
          <w:p w14:paraId="4A1E1A23" w14:textId="77777777" w:rsidR="001514AC" w:rsidRPr="006A709B" w:rsidRDefault="001514AC" w:rsidP="00CB7E4B">
            <w:pPr>
              <w:jc w:val="center"/>
              <w:rPr>
                <w:rFonts w:ascii="Arial" w:hAnsi="Arial" w:cs="Arial"/>
                <w:sz w:val="20"/>
                <w:szCs w:val="20"/>
              </w:rPr>
            </w:pPr>
          </w:p>
        </w:tc>
      </w:tr>
      <w:tr w:rsidR="008E2631" w:rsidRPr="006A709B" w14:paraId="008D078C" w14:textId="77777777" w:rsidTr="00CB7E4B">
        <w:tc>
          <w:tcPr>
            <w:tcW w:w="2197" w:type="dxa"/>
          </w:tcPr>
          <w:p w14:paraId="69E3F974" w14:textId="77777777" w:rsidR="008E2631" w:rsidRPr="006A709B" w:rsidRDefault="008E2631" w:rsidP="00CB7E4B">
            <w:pPr>
              <w:jc w:val="center"/>
              <w:rPr>
                <w:rFonts w:ascii="Arial" w:hAnsi="Arial" w:cs="Arial"/>
                <w:sz w:val="20"/>
                <w:szCs w:val="20"/>
              </w:rPr>
            </w:pPr>
          </w:p>
        </w:tc>
        <w:tc>
          <w:tcPr>
            <w:tcW w:w="2197" w:type="dxa"/>
          </w:tcPr>
          <w:p w14:paraId="69E5B3E5" w14:textId="313FEE97" w:rsidR="008E2631" w:rsidRPr="006A709B" w:rsidRDefault="00D87849" w:rsidP="008E3D51">
            <w:pPr>
              <w:rPr>
                <w:rFonts w:ascii="Arial" w:hAnsi="Arial" w:cs="Arial"/>
                <w:sz w:val="20"/>
                <w:szCs w:val="20"/>
              </w:rPr>
            </w:pPr>
            <w:r w:rsidRPr="006A709B">
              <w:rPr>
                <w:rFonts w:ascii="Arial" w:hAnsi="Arial" w:cs="Arial"/>
                <w:sz w:val="20"/>
                <w:szCs w:val="20"/>
              </w:rPr>
              <w:t>Supported the DfE scheme for the redevelopment of Sawston Village College which is now proposed to include potential net carbon zero in operation buildings</w:t>
            </w:r>
          </w:p>
        </w:tc>
        <w:tc>
          <w:tcPr>
            <w:tcW w:w="2197" w:type="dxa"/>
          </w:tcPr>
          <w:p w14:paraId="2C334BCF" w14:textId="77777777" w:rsidR="008E2631" w:rsidRPr="006A709B" w:rsidRDefault="008E2631" w:rsidP="00CB7E4B">
            <w:pPr>
              <w:jc w:val="center"/>
              <w:rPr>
                <w:rFonts w:ascii="Arial" w:hAnsi="Arial" w:cs="Arial"/>
                <w:sz w:val="20"/>
                <w:szCs w:val="20"/>
              </w:rPr>
            </w:pPr>
          </w:p>
        </w:tc>
        <w:tc>
          <w:tcPr>
            <w:tcW w:w="2197" w:type="dxa"/>
          </w:tcPr>
          <w:p w14:paraId="46F00217" w14:textId="77777777" w:rsidR="008E2631" w:rsidRPr="006A709B" w:rsidRDefault="008E2631" w:rsidP="00CB7E4B">
            <w:pPr>
              <w:jc w:val="center"/>
              <w:rPr>
                <w:rFonts w:ascii="Arial" w:hAnsi="Arial" w:cs="Arial"/>
                <w:sz w:val="20"/>
                <w:szCs w:val="20"/>
              </w:rPr>
            </w:pPr>
          </w:p>
        </w:tc>
      </w:tr>
    </w:tbl>
    <w:p w14:paraId="2610B834" w14:textId="77777777" w:rsidR="00B4310D" w:rsidRDefault="00B4310D" w:rsidP="009B1281">
      <w:pPr>
        <w:ind w:left="357"/>
        <w:jc w:val="both"/>
        <w:rPr>
          <w:rFonts w:ascii="Arial" w:hAnsi="Arial" w:cs="Arial"/>
          <w:sz w:val="24"/>
        </w:rPr>
      </w:pPr>
    </w:p>
    <w:p w14:paraId="4722851F" w14:textId="29FD59B5" w:rsidR="00A92677" w:rsidRDefault="00371BB0" w:rsidP="00F62CC4">
      <w:pPr>
        <w:pStyle w:val="Heading1"/>
      </w:pPr>
      <w:bookmarkStart w:id="7" w:name="_Toc114170227"/>
      <w:r w:rsidRPr="003A574D">
        <w:t xml:space="preserve">Carbon </w:t>
      </w:r>
      <w:r w:rsidRPr="00F62CC4">
        <w:t>Reduction</w:t>
      </w:r>
      <w:r w:rsidRPr="003A574D">
        <w:t xml:space="preserve"> Commitment</w:t>
      </w:r>
      <w:r w:rsidR="00DF5CE0">
        <w:t>:</w:t>
      </w:r>
      <w:bookmarkEnd w:id="7"/>
    </w:p>
    <w:p w14:paraId="109BA0A5" w14:textId="4DF88467" w:rsidR="003A574D" w:rsidRPr="002573D2" w:rsidRDefault="00EB075B" w:rsidP="002573D2">
      <w:pPr>
        <w:pStyle w:val="Heading2"/>
      </w:pPr>
      <w:bookmarkStart w:id="8" w:name="_Toc114170228"/>
      <w:r w:rsidRPr="002573D2">
        <w:t>Context</w:t>
      </w:r>
      <w:bookmarkEnd w:id="8"/>
    </w:p>
    <w:p w14:paraId="1013D568" w14:textId="77777777" w:rsidR="001905DC" w:rsidRPr="001905DC" w:rsidRDefault="001905DC" w:rsidP="001905DC">
      <w:pPr>
        <w:ind w:left="357"/>
        <w:jc w:val="both"/>
        <w:rPr>
          <w:rFonts w:ascii="Arial" w:hAnsi="Arial" w:cs="Arial"/>
          <w:sz w:val="24"/>
        </w:rPr>
      </w:pPr>
      <w:r w:rsidRPr="001905DC">
        <w:rPr>
          <w:rFonts w:ascii="Arial" w:hAnsi="Arial" w:cs="Arial"/>
          <w:sz w:val="24"/>
        </w:rPr>
        <w:t xml:space="preserve">The UK Climate Change Act 2008 is a landmark piece of environmental legislation and one that continues to attract interest and inspire action all round the world. It sets out a clear, legally binding framework to reduce greenhouse gas emissions and to ensure that the UK plays a part in avoiding dangerous climate change. The Climate Change Act 2008 set the countries’ emission reduction targets. The ‘legally binding’ targets are a reduction of least 80% by 2050 (against the 1990 baseline). </w:t>
      </w:r>
    </w:p>
    <w:p w14:paraId="63EEAF33" w14:textId="77777777" w:rsidR="001905DC" w:rsidRPr="001905DC" w:rsidRDefault="001905DC" w:rsidP="001905DC">
      <w:pPr>
        <w:ind w:left="357"/>
        <w:jc w:val="both"/>
        <w:rPr>
          <w:rFonts w:ascii="Arial" w:hAnsi="Arial" w:cs="Arial"/>
          <w:sz w:val="24"/>
        </w:rPr>
      </w:pPr>
      <w:r w:rsidRPr="001905DC">
        <w:rPr>
          <w:rFonts w:ascii="Arial" w:hAnsi="Arial" w:cs="Arial"/>
          <w:sz w:val="24"/>
        </w:rPr>
        <w:lastRenderedPageBreak/>
        <w:t>In 2017 the Department for Business, Energy and Industrial Strategy state that schools used around 13 terawatts of electricity and generated over 4.6 million tonnes of carbon. This equates to almost 1% of the UK carbon emissions and 20% of public sector emissions based on the 2017 Clean Growth Strategy data.</w:t>
      </w:r>
    </w:p>
    <w:p w14:paraId="56C42F1D" w14:textId="77777777" w:rsidR="001905DC" w:rsidRPr="001905DC" w:rsidRDefault="001905DC" w:rsidP="001905DC">
      <w:pPr>
        <w:ind w:left="357"/>
        <w:jc w:val="both"/>
        <w:rPr>
          <w:rFonts w:ascii="Arial" w:hAnsi="Arial" w:cs="Arial"/>
          <w:sz w:val="24"/>
        </w:rPr>
      </w:pPr>
      <w:r w:rsidRPr="001905DC">
        <w:rPr>
          <w:rFonts w:ascii="Arial" w:hAnsi="Arial" w:cs="Arial"/>
          <w:sz w:val="24"/>
        </w:rPr>
        <w:t xml:space="preserve">An average secondary school produces between 200 and 300 tonnes of carbon per annum and a typical primary between 40 and 70 tonnes of carbon. Developing a strategy to impact the carbon dioxide emissions for the UK’s schools and academies would contribute to the UK government reducing its own carbon footprint. </w:t>
      </w:r>
    </w:p>
    <w:p w14:paraId="3F50417A" w14:textId="77777777" w:rsidR="001905DC" w:rsidRPr="001905DC" w:rsidRDefault="001905DC" w:rsidP="001905DC">
      <w:pPr>
        <w:ind w:left="357"/>
        <w:jc w:val="both"/>
        <w:rPr>
          <w:rFonts w:ascii="Arial" w:hAnsi="Arial" w:cs="Arial"/>
          <w:sz w:val="24"/>
        </w:rPr>
      </w:pPr>
      <w:r w:rsidRPr="001905DC">
        <w:rPr>
          <w:rFonts w:ascii="Arial" w:hAnsi="Arial" w:cs="Arial"/>
          <w:sz w:val="24"/>
        </w:rPr>
        <w:t>The Department for Business, Energy and Industrial Strategy is currently encouraging academies to use data from smart metering to help schools reduce their energy consumption by 15% and emissions by 40% by 2030.</w:t>
      </w:r>
    </w:p>
    <w:p w14:paraId="29F14FAE" w14:textId="02AFA13F" w:rsidR="00EB075B" w:rsidRDefault="00593529" w:rsidP="00835E59">
      <w:pPr>
        <w:pStyle w:val="Heading2"/>
      </w:pPr>
      <w:bookmarkStart w:id="9" w:name="_Toc114170229"/>
      <w:r w:rsidRPr="00A93892">
        <w:t>Our Commitment</w:t>
      </w:r>
      <w:bookmarkEnd w:id="9"/>
    </w:p>
    <w:p w14:paraId="5CD5E8D5" w14:textId="0756FD7E" w:rsidR="00BC62D8" w:rsidRPr="00D732CB" w:rsidRDefault="00212E01" w:rsidP="00934F55">
      <w:pPr>
        <w:ind w:left="357"/>
        <w:jc w:val="both"/>
        <w:rPr>
          <w:rFonts w:ascii="Arial" w:hAnsi="Arial" w:cs="Arial"/>
          <w:sz w:val="24"/>
        </w:rPr>
      </w:pPr>
      <w:r>
        <w:rPr>
          <w:rFonts w:ascii="Arial" w:hAnsi="Arial" w:cs="Arial"/>
          <w:sz w:val="24"/>
        </w:rPr>
        <w:t>The Trust will target an ambitious 10% reduction in carbon related to gas and electricity use in 2022/23.  More detailed targets for the 2 years to 204/25 will be developed by the end of this academic year.</w:t>
      </w:r>
    </w:p>
    <w:p w14:paraId="1D3DE11F" w14:textId="7C036C5F" w:rsidR="00593529" w:rsidRDefault="006608E7" w:rsidP="00835E59">
      <w:pPr>
        <w:pStyle w:val="Heading2"/>
      </w:pPr>
      <w:bookmarkStart w:id="10" w:name="_Toc114170230"/>
      <w:r>
        <w:t>Statutory Requirements</w:t>
      </w:r>
      <w:bookmarkEnd w:id="10"/>
    </w:p>
    <w:p w14:paraId="5C6366F6" w14:textId="045167F5" w:rsidR="006608E7" w:rsidRDefault="000F5DAD" w:rsidP="000F5DAD">
      <w:pPr>
        <w:ind w:left="357"/>
        <w:jc w:val="both"/>
        <w:rPr>
          <w:rFonts w:ascii="Arial" w:hAnsi="Arial" w:cs="Arial"/>
          <w:sz w:val="24"/>
        </w:rPr>
      </w:pPr>
      <w:r w:rsidRPr="000F5DAD">
        <w:rPr>
          <w:rFonts w:ascii="Arial" w:hAnsi="Arial" w:cs="Arial"/>
          <w:sz w:val="24"/>
        </w:rPr>
        <w:t>At the current time there are no compulsory CO2 emissions limits or targets for schools and academies to comply with. Statutory requirements relate only to measurement and reporting as set out below:</w:t>
      </w:r>
    </w:p>
    <w:p w14:paraId="759B3512" w14:textId="427710A2" w:rsidR="00A4383E" w:rsidRPr="00804F45" w:rsidRDefault="00A4383E" w:rsidP="000F5DAD">
      <w:pPr>
        <w:ind w:left="357"/>
        <w:jc w:val="both"/>
        <w:rPr>
          <w:rFonts w:ascii="Arial" w:hAnsi="Arial" w:cs="Arial"/>
          <w:b/>
          <w:bCs/>
          <w:sz w:val="24"/>
        </w:rPr>
      </w:pPr>
      <w:r w:rsidRPr="00804F45">
        <w:rPr>
          <w:rFonts w:ascii="Arial" w:hAnsi="Arial" w:cs="Arial"/>
          <w:b/>
          <w:bCs/>
          <w:sz w:val="24"/>
        </w:rPr>
        <w:t>Display Energy Certificates (DEC) requirements</w:t>
      </w:r>
    </w:p>
    <w:p w14:paraId="7A043DE9" w14:textId="77777777" w:rsidR="002F4A3C" w:rsidRPr="002F4A3C" w:rsidRDefault="002F4A3C" w:rsidP="002F4A3C">
      <w:pPr>
        <w:ind w:left="357"/>
        <w:jc w:val="both"/>
        <w:rPr>
          <w:rFonts w:ascii="Arial" w:hAnsi="Arial" w:cs="Arial"/>
          <w:sz w:val="24"/>
        </w:rPr>
      </w:pPr>
      <w:r w:rsidRPr="002F4A3C">
        <w:rPr>
          <w:rFonts w:ascii="Arial" w:hAnsi="Arial" w:cs="Arial"/>
          <w:sz w:val="24"/>
        </w:rPr>
        <w:t>A DEC shows the energy performance of a building based on actual energy consumption as recorded over the last 12 months within the validity period of the DEC (the operational rating). This rating is shown on a scale from A to G, where A is the lowest CO2emissions (best) and G is the highest CO2 emissions (worst).</w:t>
      </w:r>
    </w:p>
    <w:p w14:paraId="0FC817F9" w14:textId="77777777" w:rsidR="002F4A3C" w:rsidRPr="002F4A3C" w:rsidRDefault="002F4A3C" w:rsidP="002F4A3C">
      <w:pPr>
        <w:ind w:left="357"/>
        <w:jc w:val="both"/>
        <w:rPr>
          <w:rFonts w:ascii="Arial" w:hAnsi="Arial" w:cs="Arial"/>
          <w:sz w:val="24"/>
        </w:rPr>
      </w:pPr>
      <w:r w:rsidRPr="002F4A3C">
        <w:rPr>
          <w:rFonts w:ascii="Arial" w:hAnsi="Arial" w:cs="Arial"/>
          <w:sz w:val="24"/>
        </w:rPr>
        <w:t>A DEC and advisory report are required for buildings with a total useful floor area over 250m that are occupied in whole or part by public authorities and frequently visited by the public.</w:t>
      </w:r>
    </w:p>
    <w:p w14:paraId="0A4C568B" w14:textId="77777777" w:rsidR="002F4A3C" w:rsidRPr="002F4A3C" w:rsidRDefault="002F4A3C" w:rsidP="002F4A3C">
      <w:pPr>
        <w:ind w:left="357"/>
        <w:jc w:val="both"/>
        <w:rPr>
          <w:rFonts w:ascii="Arial" w:hAnsi="Arial" w:cs="Arial"/>
          <w:sz w:val="24"/>
        </w:rPr>
      </w:pPr>
      <w:r w:rsidRPr="002F4A3C">
        <w:rPr>
          <w:rFonts w:ascii="Arial" w:hAnsi="Arial" w:cs="Arial"/>
          <w:sz w:val="24"/>
        </w:rPr>
        <w:t>From 9 January 2013, if you are an occupier of a building requiring a DEC, you will need to display a DEC showing an operational rating in a prominent place clearly visible to the public. You will also need to have in your possession or control a valid advisory report.</w:t>
      </w:r>
    </w:p>
    <w:p w14:paraId="2DA0D6FB" w14:textId="77777777" w:rsidR="002F4A3C" w:rsidRPr="002F4A3C" w:rsidRDefault="002F4A3C" w:rsidP="002F4A3C">
      <w:pPr>
        <w:ind w:left="357"/>
        <w:jc w:val="both"/>
        <w:rPr>
          <w:rFonts w:ascii="Arial" w:hAnsi="Arial" w:cs="Arial"/>
          <w:sz w:val="24"/>
        </w:rPr>
      </w:pPr>
      <w:r w:rsidRPr="002F4A3C">
        <w:rPr>
          <w:rFonts w:ascii="Arial" w:hAnsi="Arial" w:cs="Arial"/>
          <w:sz w:val="24"/>
        </w:rPr>
        <w:t>Where the building has a total useful floor area of more than 1,000m², the DEC is valid for 12 months. The accompanying advisory report is valid for seven years. Where the building has a total useful floor area of between 250m² and 1000m², the DEC and advisory report are valid for 10 years.</w:t>
      </w:r>
    </w:p>
    <w:p w14:paraId="7FE09148" w14:textId="6049FA8D" w:rsidR="00A4383E" w:rsidRDefault="006D54F7" w:rsidP="002F4A3C">
      <w:pPr>
        <w:ind w:left="357"/>
        <w:jc w:val="both"/>
        <w:rPr>
          <w:rFonts w:ascii="Arial" w:hAnsi="Arial" w:cs="Arial"/>
          <w:sz w:val="24"/>
        </w:rPr>
      </w:pPr>
      <w:r>
        <w:rPr>
          <w:rFonts w:ascii="Arial" w:hAnsi="Arial" w:cs="Arial"/>
          <w:sz w:val="24"/>
        </w:rPr>
        <w:t xml:space="preserve">A number of providers </w:t>
      </w:r>
      <w:r w:rsidR="00D10CCA">
        <w:rPr>
          <w:rFonts w:ascii="Arial" w:hAnsi="Arial" w:cs="Arial"/>
          <w:sz w:val="24"/>
        </w:rPr>
        <w:t>support the production of DECs across the Trust, with a move to consolidate production over time.</w:t>
      </w:r>
    </w:p>
    <w:p w14:paraId="625EF5F8" w14:textId="77777777" w:rsidR="00212E01" w:rsidRDefault="00212E01" w:rsidP="002F4A3C">
      <w:pPr>
        <w:ind w:left="357"/>
        <w:jc w:val="both"/>
        <w:rPr>
          <w:rFonts w:ascii="Arial" w:hAnsi="Arial" w:cs="Arial"/>
          <w:sz w:val="24"/>
        </w:rPr>
      </w:pPr>
    </w:p>
    <w:p w14:paraId="37FAE724" w14:textId="448856E6" w:rsidR="00F67222" w:rsidRPr="00804F45" w:rsidRDefault="00F67222" w:rsidP="002F4A3C">
      <w:pPr>
        <w:ind w:left="357"/>
        <w:jc w:val="both"/>
        <w:rPr>
          <w:rFonts w:ascii="Arial" w:hAnsi="Arial" w:cs="Arial"/>
          <w:b/>
          <w:bCs/>
          <w:sz w:val="24"/>
        </w:rPr>
      </w:pPr>
      <w:r w:rsidRPr="00804F45">
        <w:rPr>
          <w:rFonts w:ascii="Arial" w:hAnsi="Arial" w:cs="Arial"/>
          <w:b/>
          <w:bCs/>
          <w:sz w:val="24"/>
        </w:rPr>
        <w:lastRenderedPageBreak/>
        <w:t>Streamlined Energy and Carbon Reporting (SECR) requirements</w:t>
      </w:r>
    </w:p>
    <w:p w14:paraId="5C174544" w14:textId="77777777" w:rsidR="005F48ED" w:rsidRPr="005F48ED" w:rsidRDefault="005F48ED" w:rsidP="005F48ED">
      <w:pPr>
        <w:ind w:left="357"/>
        <w:jc w:val="both"/>
        <w:rPr>
          <w:rFonts w:ascii="Arial" w:hAnsi="Arial" w:cs="Arial"/>
          <w:sz w:val="24"/>
        </w:rPr>
      </w:pPr>
      <w:r w:rsidRPr="005F48ED">
        <w:rPr>
          <w:rFonts w:ascii="Arial" w:hAnsi="Arial" w:cs="Arial"/>
          <w:sz w:val="24"/>
        </w:rPr>
        <w:t>The Companies (Directors’ Report) and Limited Liability Partnerships (Energy and Carbon Report) Regulations 2018 came into force on 1 April 2019 and apply to financial years starting on or after 1 April 2019. The legislation is aimed at tracking progress to the government’s carbon reduction targets.</w:t>
      </w:r>
    </w:p>
    <w:p w14:paraId="2C58364C" w14:textId="77777777" w:rsidR="00D81F53" w:rsidRDefault="005F48ED" w:rsidP="005F48ED">
      <w:pPr>
        <w:ind w:left="357"/>
        <w:jc w:val="both"/>
        <w:rPr>
          <w:rFonts w:ascii="Arial" w:hAnsi="Arial" w:cs="Arial"/>
          <w:sz w:val="24"/>
        </w:rPr>
      </w:pPr>
      <w:r w:rsidRPr="005F48ED">
        <w:rPr>
          <w:rFonts w:ascii="Arial" w:hAnsi="Arial" w:cs="Arial"/>
          <w:sz w:val="24"/>
        </w:rPr>
        <w:t>The regulations require academy Trusts from their financial year 2019</w:t>
      </w:r>
      <w:r w:rsidR="009356BC">
        <w:rPr>
          <w:rFonts w:ascii="Arial" w:hAnsi="Arial" w:cs="Arial"/>
          <w:sz w:val="24"/>
        </w:rPr>
        <w:t>/</w:t>
      </w:r>
      <w:r w:rsidRPr="005F48ED">
        <w:rPr>
          <w:rFonts w:ascii="Arial" w:hAnsi="Arial" w:cs="Arial"/>
          <w:sz w:val="24"/>
        </w:rPr>
        <w:t xml:space="preserve">2020 to report their greenhouse gas emissions under the Streamlined Energy and Carbon Reporting (SECR) requirements. </w:t>
      </w:r>
    </w:p>
    <w:p w14:paraId="6A298789" w14:textId="2F73EAC3" w:rsidR="005F48ED" w:rsidRDefault="00D81F53" w:rsidP="00283019">
      <w:pPr>
        <w:ind w:left="357"/>
        <w:jc w:val="both"/>
        <w:rPr>
          <w:rFonts w:ascii="Arial" w:hAnsi="Arial" w:cs="Arial"/>
          <w:sz w:val="24"/>
        </w:rPr>
      </w:pPr>
      <w:r>
        <w:rPr>
          <w:rFonts w:ascii="Arial" w:hAnsi="Arial" w:cs="Arial"/>
          <w:sz w:val="24"/>
        </w:rPr>
        <w:t xml:space="preserve">The Department for Education has provided guidance to academy trusts to ensure that </w:t>
      </w:r>
      <w:r w:rsidR="00FC7FBD">
        <w:rPr>
          <w:rFonts w:ascii="Arial" w:hAnsi="Arial" w:cs="Arial"/>
          <w:sz w:val="24"/>
        </w:rPr>
        <w:t xml:space="preserve">they report key performance indicators consistently.  </w:t>
      </w:r>
      <w:r w:rsidR="00744558">
        <w:rPr>
          <w:rFonts w:ascii="Arial" w:hAnsi="Arial" w:cs="Arial"/>
          <w:sz w:val="24"/>
        </w:rPr>
        <w:t>Our external auditors review the SECR calculation as</w:t>
      </w:r>
      <w:r w:rsidR="00283019">
        <w:rPr>
          <w:rFonts w:ascii="Arial" w:hAnsi="Arial" w:cs="Arial"/>
          <w:sz w:val="24"/>
        </w:rPr>
        <w:t xml:space="preserve"> part of their work on the annual report.</w:t>
      </w:r>
      <w:r w:rsidR="0066697F">
        <w:rPr>
          <w:rFonts w:ascii="Arial" w:hAnsi="Arial" w:cs="Arial"/>
          <w:sz w:val="24"/>
        </w:rPr>
        <w:t xml:space="preserve"> </w:t>
      </w:r>
    </w:p>
    <w:p w14:paraId="0CAE75D8" w14:textId="52CE17A4" w:rsidR="00212E01" w:rsidRDefault="00212E01" w:rsidP="00283019">
      <w:pPr>
        <w:ind w:left="357"/>
        <w:jc w:val="both"/>
        <w:rPr>
          <w:rFonts w:ascii="Arial" w:hAnsi="Arial" w:cs="Arial"/>
          <w:sz w:val="24"/>
        </w:rPr>
      </w:pPr>
      <w:r>
        <w:rPr>
          <w:rFonts w:ascii="Arial" w:hAnsi="Arial" w:cs="Arial"/>
          <w:sz w:val="24"/>
        </w:rPr>
        <w:t>The Trust’s SECR for 2019/20 and 2020/21 were not directly comparable due to the growth in the Trust but showed:</w:t>
      </w:r>
    </w:p>
    <w:tbl>
      <w:tblPr>
        <w:tblStyle w:val="TableGrid"/>
        <w:tblW w:w="0" w:type="auto"/>
        <w:tblInd w:w="357" w:type="dxa"/>
        <w:tblLook w:val="04A0" w:firstRow="1" w:lastRow="0" w:firstColumn="1" w:lastColumn="0" w:noHBand="0" w:noVBand="1"/>
      </w:tblPr>
      <w:tblGrid>
        <w:gridCol w:w="2884"/>
        <w:gridCol w:w="2887"/>
        <w:gridCol w:w="2888"/>
      </w:tblGrid>
      <w:tr w:rsidR="008C452A" w14:paraId="36A8B6FF" w14:textId="77777777" w:rsidTr="00085D7F">
        <w:trPr>
          <w:trHeight w:val="141"/>
        </w:trPr>
        <w:tc>
          <w:tcPr>
            <w:tcW w:w="2884" w:type="dxa"/>
          </w:tcPr>
          <w:p w14:paraId="08E87863" w14:textId="77777777" w:rsidR="008C452A" w:rsidRDefault="008C452A" w:rsidP="00085D7F">
            <w:pPr>
              <w:jc w:val="center"/>
              <w:rPr>
                <w:rFonts w:ascii="Arial" w:hAnsi="Arial" w:cs="Arial"/>
                <w:sz w:val="24"/>
              </w:rPr>
            </w:pPr>
          </w:p>
        </w:tc>
        <w:tc>
          <w:tcPr>
            <w:tcW w:w="2887" w:type="dxa"/>
          </w:tcPr>
          <w:p w14:paraId="595F1168" w14:textId="033AB734" w:rsidR="008C452A" w:rsidRPr="008C452A" w:rsidRDefault="008C452A" w:rsidP="00085D7F">
            <w:pPr>
              <w:jc w:val="center"/>
              <w:rPr>
                <w:rFonts w:ascii="Arial" w:hAnsi="Arial" w:cs="Arial"/>
                <w:b/>
                <w:bCs/>
                <w:sz w:val="24"/>
              </w:rPr>
            </w:pPr>
            <w:r w:rsidRPr="008C452A">
              <w:rPr>
                <w:rFonts w:ascii="Arial" w:hAnsi="Arial" w:cs="Arial"/>
                <w:b/>
                <w:bCs/>
                <w:sz w:val="24"/>
              </w:rPr>
              <w:t>2019/20</w:t>
            </w:r>
          </w:p>
        </w:tc>
        <w:tc>
          <w:tcPr>
            <w:tcW w:w="2888" w:type="dxa"/>
          </w:tcPr>
          <w:p w14:paraId="2F2B9966" w14:textId="1D7F4A25" w:rsidR="008C452A" w:rsidRPr="008C452A" w:rsidRDefault="008C452A" w:rsidP="00085D7F">
            <w:pPr>
              <w:jc w:val="center"/>
              <w:rPr>
                <w:rFonts w:ascii="Arial" w:hAnsi="Arial" w:cs="Arial"/>
                <w:b/>
                <w:bCs/>
                <w:sz w:val="24"/>
              </w:rPr>
            </w:pPr>
            <w:r w:rsidRPr="008C452A">
              <w:rPr>
                <w:rFonts w:ascii="Arial" w:hAnsi="Arial" w:cs="Arial"/>
                <w:b/>
                <w:bCs/>
                <w:sz w:val="24"/>
              </w:rPr>
              <w:t>2020/21</w:t>
            </w:r>
          </w:p>
        </w:tc>
      </w:tr>
      <w:tr w:rsidR="008C452A" w14:paraId="39A586B1" w14:textId="77777777" w:rsidTr="00085D7F">
        <w:tc>
          <w:tcPr>
            <w:tcW w:w="2884" w:type="dxa"/>
          </w:tcPr>
          <w:p w14:paraId="01811F6B" w14:textId="6C322D70" w:rsidR="008C452A" w:rsidRDefault="001E0CF5" w:rsidP="00085D7F">
            <w:pPr>
              <w:jc w:val="center"/>
              <w:rPr>
                <w:rFonts w:ascii="Arial" w:hAnsi="Arial" w:cs="Arial"/>
                <w:sz w:val="24"/>
              </w:rPr>
            </w:pPr>
            <w:r>
              <w:rPr>
                <w:rFonts w:ascii="Arial" w:hAnsi="Arial" w:cs="Arial"/>
                <w:sz w:val="24"/>
              </w:rPr>
              <w:t>Metric Tonnes of CO2</w:t>
            </w:r>
          </w:p>
        </w:tc>
        <w:tc>
          <w:tcPr>
            <w:tcW w:w="2887" w:type="dxa"/>
          </w:tcPr>
          <w:p w14:paraId="519F09FC" w14:textId="30335DF0" w:rsidR="008C452A" w:rsidRDefault="00085D7F" w:rsidP="00085D7F">
            <w:pPr>
              <w:jc w:val="center"/>
              <w:rPr>
                <w:rFonts w:ascii="Arial" w:hAnsi="Arial" w:cs="Arial"/>
                <w:sz w:val="24"/>
              </w:rPr>
            </w:pPr>
            <w:r>
              <w:rPr>
                <w:rFonts w:ascii="Arial" w:hAnsi="Arial" w:cs="Arial"/>
                <w:sz w:val="24"/>
              </w:rPr>
              <w:t>1,525</w:t>
            </w:r>
          </w:p>
        </w:tc>
        <w:tc>
          <w:tcPr>
            <w:tcW w:w="2888" w:type="dxa"/>
          </w:tcPr>
          <w:p w14:paraId="5D4EF8A4" w14:textId="339C1BBE" w:rsidR="008C452A" w:rsidRDefault="00085D7F" w:rsidP="00085D7F">
            <w:pPr>
              <w:jc w:val="center"/>
              <w:rPr>
                <w:rFonts w:ascii="Arial" w:hAnsi="Arial" w:cs="Arial"/>
                <w:sz w:val="24"/>
              </w:rPr>
            </w:pPr>
            <w:r>
              <w:rPr>
                <w:rFonts w:ascii="Arial" w:hAnsi="Arial" w:cs="Arial"/>
                <w:sz w:val="24"/>
              </w:rPr>
              <w:t>2,707</w:t>
            </w:r>
          </w:p>
        </w:tc>
      </w:tr>
      <w:tr w:rsidR="008C452A" w14:paraId="24B29554" w14:textId="77777777" w:rsidTr="00085D7F">
        <w:tc>
          <w:tcPr>
            <w:tcW w:w="2884" w:type="dxa"/>
          </w:tcPr>
          <w:p w14:paraId="1E2D0959" w14:textId="563C5A6B" w:rsidR="008C452A" w:rsidRDefault="00085D7F" w:rsidP="00085D7F">
            <w:pPr>
              <w:jc w:val="center"/>
              <w:rPr>
                <w:rFonts w:ascii="Arial" w:hAnsi="Arial" w:cs="Arial"/>
                <w:sz w:val="24"/>
              </w:rPr>
            </w:pPr>
            <w:r>
              <w:rPr>
                <w:rFonts w:ascii="Arial" w:hAnsi="Arial" w:cs="Arial"/>
                <w:sz w:val="24"/>
              </w:rPr>
              <w:t>Co2 per pupil</w:t>
            </w:r>
          </w:p>
        </w:tc>
        <w:tc>
          <w:tcPr>
            <w:tcW w:w="2887" w:type="dxa"/>
          </w:tcPr>
          <w:p w14:paraId="40CC5507" w14:textId="5196745A" w:rsidR="008C452A" w:rsidRDefault="00085D7F" w:rsidP="00085D7F">
            <w:pPr>
              <w:jc w:val="center"/>
              <w:rPr>
                <w:rFonts w:ascii="Arial" w:hAnsi="Arial" w:cs="Arial"/>
                <w:sz w:val="24"/>
              </w:rPr>
            </w:pPr>
            <w:r>
              <w:rPr>
                <w:rFonts w:ascii="Arial" w:hAnsi="Arial" w:cs="Arial"/>
                <w:sz w:val="24"/>
              </w:rPr>
              <w:t>0.26</w:t>
            </w:r>
          </w:p>
        </w:tc>
        <w:tc>
          <w:tcPr>
            <w:tcW w:w="2888" w:type="dxa"/>
          </w:tcPr>
          <w:p w14:paraId="79E6C222" w14:textId="08B13AF4" w:rsidR="008C452A" w:rsidRDefault="00085D7F" w:rsidP="00085D7F">
            <w:pPr>
              <w:jc w:val="center"/>
              <w:rPr>
                <w:rFonts w:ascii="Arial" w:hAnsi="Arial" w:cs="Arial"/>
                <w:sz w:val="24"/>
              </w:rPr>
            </w:pPr>
            <w:r>
              <w:rPr>
                <w:rFonts w:ascii="Arial" w:hAnsi="Arial" w:cs="Arial"/>
                <w:sz w:val="24"/>
              </w:rPr>
              <w:t>0.37</w:t>
            </w:r>
          </w:p>
        </w:tc>
      </w:tr>
    </w:tbl>
    <w:p w14:paraId="596985A5" w14:textId="77777777" w:rsidR="00212E01" w:rsidRDefault="00212E01" w:rsidP="00283019">
      <w:pPr>
        <w:ind w:left="357"/>
        <w:jc w:val="both"/>
        <w:rPr>
          <w:rFonts w:ascii="Arial" w:hAnsi="Arial" w:cs="Arial"/>
          <w:sz w:val="24"/>
        </w:rPr>
      </w:pPr>
    </w:p>
    <w:p w14:paraId="02D1D5A4" w14:textId="5119DFE5" w:rsidR="00085D7F" w:rsidRPr="00283019" w:rsidRDefault="00085D7F" w:rsidP="00283019">
      <w:pPr>
        <w:ind w:left="357"/>
        <w:jc w:val="both"/>
        <w:rPr>
          <w:rFonts w:ascii="Arial" w:hAnsi="Arial" w:cs="Arial"/>
          <w:sz w:val="24"/>
        </w:rPr>
      </w:pPr>
      <w:r>
        <w:rPr>
          <w:rFonts w:ascii="Arial" w:hAnsi="Arial" w:cs="Arial"/>
          <w:sz w:val="24"/>
        </w:rPr>
        <w:t>These figures a</w:t>
      </w:r>
      <w:r w:rsidR="00D930B9">
        <w:rPr>
          <w:rFonts w:ascii="Arial" w:hAnsi="Arial" w:cs="Arial"/>
          <w:sz w:val="24"/>
        </w:rPr>
        <w:t>r</w:t>
      </w:r>
      <w:r>
        <w:rPr>
          <w:rFonts w:ascii="Arial" w:hAnsi="Arial" w:cs="Arial"/>
          <w:sz w:val="24"/>
        </w:rPr>
        <w:t>e not directly comparable due to the expansion of the Trust during</w:t>
      </w:r>
      <w:r w:rsidR="00D930B9">
        <w:rPr>
          <w:rFonts w:ascii="Arial" w:hAnsi="Arial" w:cs="Arial"/>
          <w:sz w:val="24"/>
        </w:rPr>
        <w:t xml:space="preserve"> 2019/20.  2021/22 figures will not be available until the end of September 2022.</w:t>
      </w:r>
    </w:p>
    <w:p w14:paraId="1FCDDF08" w14:textId="0173BFC2" w:rsidR="00F67222" w:rsidRPr="004A6E5B" w:rsidRDefault="008137D6" w:rsidP="00B04DA4">
      <w:pPr>
        <w:pStyle w:val="Heading1"/>
      </w:pPr>
      <w:bookmarkStart w:id="11" w:name="_Toc114170231"/>
      <w:r w:rsidRPr="004A6E5B">
        <w:t>Decarbonisation Plan</w:t>
      </w:r>
      <w:bookmarkEnd w:id="11"/>
    </w:p>
    <w:p w14:paraId="108E5FE4" w14:textId="70360BBA" w:rsidR="00096DB7" w:rsidRDefault="00C42364" w:rsidP="00FB5006">
      <w:pPr>
        <w:pStyle w:val="Heading2"/>
      </w:pPr>
      <w:bookmarkStart w:id="12" w:name="_Toc114170232"/>
      <w:r>
        <w:t xml:space="preserve">The </w:t>
      </w:r>
      <w:r w:rsidRPr="00FB5006">
        <w:t>framework</w:t>
      </w:r>
      <w:r>
        <w:t xml:space="preserve"> for delivery of this decarbonisation plan</w:t>
      </w:r>
      <w:bookmarkEnd w:id="12"/>
    </w:p>
    <w:p w14:paraId="72BEC49B" w14:textId="0107C8DF" w:rsidR="00E63D16" w:rsidRPr="008732D8" w:rsidRDefault="00E63D16" w:rsidP="008732D8">
      <w:pPr>
        <w:ind w:left="357"/>
        <w:jc w:val="both"/>
        <w:rPr>
          <w:rFonts w:ascii="Arial" w:hAnsi="Arial" w:cs="Arial"/>
          <w:sz w:val="24"/>
        </w:rPr>
      </w:pPr>
      <w:r w:rsidRPr="008732D8">
        <w:rPr>
          <w:rFonts w:ascii="Arial" w:hAnsi="Arial" w:cs="Arial"/>
          <w:sz w:val="24"/>
        </w:rPr>
        <w:t>The process below represents the process being adopted to pr</w:t>
      </w:r>
      <w:r w:rsidR="00497B33" w:rsidRPr="008732D8">
        <w:rPr>
          <w:rFonts w:ascii="Arial" w:hAnsi="Arial" w:cs="Arial"/>
          <w:sz w:val="24"/>
        </w:rPr>
        <w:t>ovide a clear and transparent framework for delivery of the decarb</w:t>
      </w:r>
      <w:r w:rsidR="00A55717" w:rsidRPr="008732D8">
        <w:rPr>
          <w:rFonts w:ascii="Arial" w:hAnsi="Arial" w:cs="Arial"/>
          <w:sz w:val="24"/>
        </w:rPr>
        <w:t xml:space="preserve">onisation plan. </w:t>
      </w:r>
      <w:r w:rsidR="008732D8" w:rsidRPr="008732D8">
        <w:rPr>
          <w:rFonts w:ascii="Arial" w:hAnsi="Arial" w:cs="Arial"/>
          <w:sz w:val="24"/>
        </w:rPr>
        <w:t xml:space="preserve">The </w:t>
      </w:r>
      <w:r w:rsidRPr="008732D8">
        <w:rPr>
          <w:rFonts w:ascii="Arial" w:hAnsi="Arial" w:cs="Arial"/>
          <w:sz w:val="24"/>
        </w:rPr>
        <w:t>constituent parts feed into a cyclical process of continuous improvement towards decarbonisation. The section that follows sets out the process adopted in more detail.</w:t>
      </w:r>
    </w:p>
    <w:p w14:paraId="682C3F38" w14:textId="55E47EC1" w:rsidR="009C3978" w:rsidRDefault="00592D3C" w:rsidP="002F4A3C">
      <w:pPr>
        <w:ind w:left="357"/>
        <w:jc w:val="both"/>
        <w:rPr>
          <w:rFonts w:ascii="Arial" w:hAnsi="Arial" w:cs="Arial"/>
          <w:sz w:val="24"/>
        </w:rPr>
      </w:pPr>
      <w:r>
        <w:rPr>
          <w:rFonts w:ascii="Arial" w:hAnsi="Arial" w:cs="Arial"/>
          <w:noProof/>
          <w:sz w:val="24"/>
        </w:rPr>
        <w:lastRenderedPageBreak/>
        <w:drawing>
          <wp:inline distT="0" distB="0" distL="0" distR="0" wp14:anchorId="39DF8F66" wp14:editId="686B24E3">
            <wp:extent cx="5486400" cy="3200400"/>
            <wp:effectExtent l="0" t="0" r="0" b="1905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FF02093" w14:textId="752FAD96" w:rsidR="00C42364" w:rsidRDefault="009C3978" w:rsidP="002F4A3C">
      <w:pPr>
        <w:ind w:left="357"/>
        <w:jc w:val="both"/>
        <w:rPr>
          <w:rFonts w:ascii="Arial" w:hAnsi="Arial" w:cs="Arial"/>
          <w:sz w:val="24"/>
        </w:rPr>
      </w:pPr>
      <w:r w:rsidRPr="009C3978">
        <w:rPr>
          <w:rFonts w:ascii="Arial" w:hAnsi="Arial" w:cs="Arial"/>
          <w:sz w:val="24"/>
        </w:rPr>
        <w:t>The table in the next section summarises the activity covered in each of these stages and provides detail around the outcomes expected at each stage. It should be recognised that the journey towards net carbon zero is not a linear one. As such it will be necessary to apply the above process as a 360 degree “loop”. Change will happen in phases and cycles. As such, each phase or cycle will involve feeding data, learning and savings back into the process to enable continuous improvement</w:t>
      </w:r>
      <w:r>
        <w:rPr>
          <w:rFonts w:ascii="Arial" w:hAnsi="Arial" w:cs="Arial"/>
          <w:sz w:val="24"/>
        </w:rPr>
        <w:t>.</w:t>
      </w:r>
    </w:p>
    <w:p w14:paraId="038B02A0" w14:textId="3AF6FB00" w:rsidR="009C3978" w:rsidRPr="00FD1FEA" w:rsidRDefault="009C3978" w:rsidP="00835E59">
      <w:pPr>
        <w:pStyle w:val="Heading2"/>
      </w:pPr>
      <w:bookmarkStart w:id="13" w:name="_Toc114170233"/>
      <w:r w:rsidRPr="00FD1FEA">
        <w:t>Decarbonisation Implementation Process</w:t>
      </w:r>
      <w:bookmarkEnd w:id="13"/>
    </w:p>
    <w:tbl>
      <w:tblPr>
        <w:tblStyle w:val="TableGrid"/>
        <w:tblW w:w="8930" w:type="dxa"/>
        <w:tblInd w:w="421" w:type="dxa"/>
        <w:tblLook w:val="04A0" w:firstRow="1" w:lastRow="0" w:firstColumn="1" w:lastColumn="0" w:noHBand="0" w:noVBand="1"/>
      </w:tblPr>
      <w:tblGrid>
        <w:gridCol w:w="791"/>
        <w:gridCol w:w="1721"/>
        <w:gridCol w:w="6418"/>
      </w:tblGrid>
      <w:tr w:rsidR="00D5720D" w:rsidRPr="00FD711F" w14:paraId="4975F51F" w14:textId="77777777" w:rsidTr="00FD711F">
        <w:trPr>
          <w:trHeight w:val="1147"/>
        </w:trPr>
        <w:tc>
          <w:tcPr>
            <w:tcW w:w="791" w:type="dxa"/>
            <w:shd w:val="clear" w:color="auto" w:fill="002060"/>
            <w:vAlign w:val="center"/>
          </w:tcPr>
          <w:p w14:paraId="633B2665" w14:textId="77777777" w:rsidR="00977835" w:rsidRPr="00FD711F" w:rsidRDefault="00977835" w:rsidP="00D5720D">
            <w:pPr>
              <w:rPr>
                <w:rFonts w:ascii="Arial" w:hAnsi="Arial" w:cs="Arial"/>
              </w:rPr>
            </w:pPr>
            <w:r w:rsidRPr="00FD711F">
              <w:rPr>
                <w:rFonts w:ascii="Arial" w:hAnsi="Arial" w:cs="Arial"/>
              </w:rPr>
              <w:t>Stage 1</w:t>
            </w:r>
          </w:p>
        </w:tc>
        <w:tc>
          <w:tcPr>
            <w:tcW w:w="768" w:type="dxa"/>
            <w:shd w:val="clear" w:color="auto" w:fill="F2F2F2" w:themeFill="background1" w:themeFillShade="F2"/>
            <w:vAlign w:val="center"/>
          </w:tcPr>
          <w:p w14:paraId="6F3CD338" w14:textId="77777777" w:rsidR="00977835" w:rsidRPr="00FD711F" w:rsidRDefault="00977835" w:rsidP="00D5720D">
            <w:pPr>
              <w:rPr>
                <w:rFonts w:ascii="Arial" w:hAnsi="Arial" w:cs="Arial"/>
                <w:color w:val="002060"/>
              </w:rPr>
            </w:pPr>
            <w:r w:rsidRPr="00FD711F">
              <w:rPr>
                <w:rFonts w:ascii="Arial" w:hAnsi="Arial" w:cs="Arial"/>
                <w:color w:val="002060"/>
              </w:rPr>
              <w:t>Strategy</w:t>
            </w:r>
          </w:p>
        </w:tc>
        <w:tc>
          <w:tcPr>
            <w:tcW w:w="7371" w:type="dxa"/>
            <w:vAlign w:val="center"/>
          </w:tcPr>
          <w:p w14:paraId="0B800614" w14:textId="391773A9" w:rsidR="00977835" w:rsidRPr="00C92E24" w:rsidRDefault="00977835" w:rsidP="00D5720D">
            <w:pPr>
              <w:rPr>
                <w:rFonts w:ascii="Arial" w:hAnsi="Arial" w:cs="Arial"/>
                <w:b/>
                <w:highlight w:val="green"/>
              </w:rPr>
            </w:pPr>
            <w:r w:rsidRPr="00C92E24">
              <w:rPr>
                <w:rFonts w:ascii="Arial" w:hAnsi="Arial" w:cs="Arial"/>
              </w:rPr>
              <w:t xml:space="preserve">This is a desktop assessment stage which assesses the potential benefits an energy management transformation process could generate. The resultant strategy will be formed from this strategic planning process, with the ultimate objective of delivering your energy policy. This will result in the setting of targets, timescales and agreement of areas of focus. </w:t>
            </w:r>
          </w:p>
        </w:tc>
      </w:tr>
      <w:tr w:rsidR="00D5720D" w:rsidRPr="00FD711F" w14:paraId="58A2102E" w14:textId="77777777" w:rsidTr="00FD711F">
        <w:trPr>
          <w:trHeight w:val="1342"/>
        </w:trPr>
        <w:tc>
          <w:tcPr>
            <w:tcW w:w="791" w:type="dxa"/>
            <w:shd w:val="clear" w:color="auto" w:fill="002060"/>
            <w:vAlign w:val="center"/>
          </w:tcPr>
          <w:p w14:paraId="4D498785" w14:textId="77777777" w:rsidR="00977835" w:rsidRPr="00FD711F" w:rsidRDefault="00977835" w:rsidP="00D5720D">
            <w:pPr>
              <w:rPr>
                <w:rFonts w:ascii="Arial" w:hAnsi="Arial" w:cs="Arial"/>
              </w:rPr>
            </w:pPr>
            <w:r w:rsidRPr="00FD711F">
              <w:rPr>
                <w:rFonts w:ascii="Arial" w:hAnsi="Arial" w:cs="Arial"/>
              </w:rPr>
              <w:t>Stage 2</w:t>
            </w:r>
          </w:p>
        </w:tc>
        <w:tc>
          <w:tcPr>
            <w:tcW w:w="768" w:type="dxa"/>
            <w:shd w:val="clear" w:color="auto" w:fill="F2F2F2" w:themeFill="background1" w:themeFillShade="F2"/>
            <w:vAlign w:val="center"/>
          </w:tcPr>
          <w:p w14:paraId="18E0CA51" w14:textId="77777777" w:rsidR="00977835" w:rsidRPr="00FD711F" w:rsidRDefault="00977835" w:rsidP="00D5720D">
            <w:pPr>
              <w:rPr>
                <w:rFonts w:ascii="Arial" w:hAnsi="Arial" w:cs="Arial"/>
                <w:color w:val="002060"/>
              </w:rPr>
            </w:pPr>
            <w:r w:rsidRPr="00FD711F">
              <w:rPr>
                <w:rFonts w:ascii="Arial" w:hAnsi="Arial" w:cs="Arial"/>
                <w:color w:val="002060"/>
              </w:rPr>
              <w:t>Policy</w:t>
            </w:r>
          </w:p>
        </w:tc>
        <w:tc>
          <w:tcPr>
            <w:tcW w:w="7371" w:type="dxa"/>
            <w:vAlign w:val="center"/>
          </w:tcPr>
          <w:p w14:paraId="02BE4678" w14:textId="6B945648" w:rsidR="00977835" w:rsidRPr="00C92E24" w:rsidRDefault="00FF445D" w:rsidP="00D5720D">
            <w:pPr>
              <w:rPr>
                <w:rFonts w:ascii="Arial" w:hAnsi="Arial" w:cs="Arial"/>
              </w:rPr>
            </w:pPr>
            <w:r w:rsidRPr="00C92E24">
              <w:rPr>
                <w:rFonts w:ascii="Arial" w:hAnsi="Arial" w:cs="Arial"/>
              </w:rPr>
              <w:t>This stage sets the vision, objectives and targets</w:t>
            </w:r>
            <w:r w:rsidR="008F5A9E" w:rsidRPr="00C92E24">
              <w:rPr>
                <w:rFonts w:ascii="Arial" w:hAnsi="Arial" w:cs="Arial"/>
              </w:rPr>
              <w:t xml:space="preserve"> that the Trust will adopt to help engage stakeholders and drive </w:t>
            </w:r>
            <w:r w:rsidR="006C268E" w:rsidRPr="00C92E24">
              <w:rPr>
                <w:rFonts w:ascii="Arial" w:hAnsi="Arial" w:cs="Arial"/>
              </w:rPr>
              <w:t>meaningful</w:t>
            </w:r>
            <w:r w:rsidR="008F5A9E" w:rsidRPr="00C92E24">
              <w:rPr>
                <w:rFonts w:ascii="Arial" w:hAnsi="Arial" w:cs="Arial"/>
              </w:rPr>
              <w:t xml:space="preserve"> action</w:t>
            </w:r>
            <w:r w:rsidR="008C7616" w:rsidRPr="00C92E24">
              <w:rPr>
                <w:rFonts w:ascii="Arial" w:hAnsi="Arial" w:cs="Arial"/>
              </w:rPr>
              <w:t>.</w:t>
            </w:r>
          </w:p>
        </w:tc>
      </w:tr>
      <w:tr w:rsidR="00D5720D" w:rsidRPr="00FD711F" w14:paraId="5C00915C" w14:textId="77777777" w:rsidTr="00FD711F">
        <w:trPr>
          <w:trHeight w:val="1167"/>
        </w:trPr>
        <w:tc>
          <w:tcPr>
            <w:tcW w:w="791" w:type="dxa"/>
            <w:shd w:val="clear" w:color="auto" w:fill="002060"/>
            <w:vAlign w:val="center"/>
          </w:tcPr>
          <w:p w14:paraId="5C53A375" w14:textId="77777777" w:rsidR="00977835" w:rsidRPr="00FD711F" w:rsidRDefault="00977835" w:rsidP="00D5720D">
            <w:pPr>
              <w:rPr>
                <w:rFonts w:ascii="Arial" w:hAnsi="Arial" w:cs="Arial"/>
              </w:rPr>
            </w:pPr>
            <w:r w:rsidRPr="00FD711F">
              <w:rPr>
                <w:rFonts w:ascii="Arial" w:hAnsi="Arial" w:cs="Arial"/>
              </w:rPr>
              <w:t>Stage 3</w:t>
            </w:r>
          </w:p>
        </w:tc>
        <w:tc>
          <w:tcPr>
            <w:tcW w:w="768" w:type="dxa"/>
            <w:shd w:val="clear" w:color="auto" w:fill="F2F2F2" w:themeFill="background1" w:themeFillShade="F2"/>
            <w:vAlign w:val="center"/>
          </w:tcPr>
          <w:p w14:paraId="0FB29BD2" w14:textId="77777777" w:rsidR="00977835" w:rsidRPr="00FD711F" w:rsidRDefault="00977835" w:rsidP="00D5720D">
            <w:pPr>
              <w:rPr>
                <w:rFonts w:ascii="Arial" w:hAnsi="Arial" w:cs="Arial"/>
                <w:color w:val="002060"/>
              </w:rPr>
            </w:pPr>
            <w:r w:rsidRPr="00FD711F">
              <w:rPr>
                <w:rFonts w:ascii="Arial" w:hAnsi="Arial" w:cs="Arial"/>
                <w:color w:val="002060"/>
              </w:rPr>
              <w:t>Energy surveys</w:t>
            </w:r>
          </w:p>
        </w:tc>
        <w:tc>
          <w:tcPr>
            <w:tcW w:w="7371" w:type="dxa"/>
            <w:vAlign w:val="center"/>
          </w:tcPr>
          <w:p w14:paraId="5210725F" w14:textId="5E2B952B" w:rsidR="00977835" w:rsidRPr="00C92E24" w:rsidRDefault="006C268E" w:rsidP="00D5720D">
            <w:pPr>
              <w:rPr>
                <w:rFonts w:ascii="Arial" w:hAnsi="Arial" w:cs="Arial"/>
                <w:b/>
                <w:highlight w:val="green"/>
              </w:rPr>
            </w:pPr>
            <w:r w:rsidRPr="00C92E24">
              <w:rPr>
                <w:rFonts w:ascii="Arial" w:hAnsi="Arial" w:cs="Arial"/>
              </w:rPr>
              <w:t>This involves the completion of ener</w:t>
            </w:r>
            <w:r w:rsidR="001716AA" w:rsidRPr="00C92E24">
              <w:rPr>
                <w:rFonts w:ascii="Arial" w:hAnsi="Arial" w:cs="Arial"/>
              </w:rPr>
              <w:t>gy audits and identification of energy saving and decarbonisation measures.</w:t>
            </w:r>
            <w:r w:rsidR="003A68CE" w:rsidRPr="00C92E24">
              <w:rPr>
                <w:rFonts w:ascii="Arial" w:hAnsi="Arial" w:cs="Arial"/>
              </w:rPr>
              <w:t xml:space="preserve"> It identifies reductions in energy consumption, costs of implementation and </w:t>
            </w:r>
            <w:r w:rsidR="00A61F64" w:rsidRPr="00C92E24">
              <w:rPr>
                <w:rFonts w:ascii="Arial" w:hAnsi="Arial" w:cs="Arial"/>
              </w:rPr>
              <w:t>potential cost savings, often in terms of a payback.</w:t>
            </w:r>
            <w:r w:rsidR="00977835" w:rsidRPr="00C92E24">
              <w:rPr>
                <w:rFonts w:ascii="Arial" w:hAnsi="Arial" w:cs="Arial"/>
              </w:rPr>
              <w:t xml:space="preserve"> </w:t>
            </w:r>
          </w:p>
        </w:tc>
      </w:tr>
      <w:tr w:rsidR="00D5720D" w:rsidRPr="00FD711F" w14:paraId="794046EF" w14:textId="77777777" w:rsidTr="00FD711F">
        <w:trPr>
          <w:trHeight w:val="1342"/>
        </w:trPr>
        <w:tc>
          <w:tcPr>
            <w:tcW w:w="791" w:type="dxa"/>
            <w:shd w:val="clear" w:color="auto" w:fill="002060"/>
            <w:vAlign w:val="center"/>
          </w:tcPr>
          <w:p w14:paraId="1CD55103" w14:textId="77777777" w:rsidR="00977835" w:rsidRPr="00FD711F" w:rsidRDefault="00977835" w:rsidP="00D5720D">
            <w:pPr>
              <w:rPr>
                <w:rFonts w:ascii="Arial" w:hAnsi="Arial" w:cs="Arial"/>
              </w:rPr>
            </w:pPr>
            <w:r w:rsidRPr="00FD711F">
              <w:rPr>
                <w:rFonts w:ascii="Arial" w:hAnsi="Arial" w:cs="Arial"/>
              </w:rPr>
              <w:t>Stage 4</w:t>
            </w:r>
          </w:p>
        </w:tc>
        <w:tc>
          <w:tcPr>
            <w:tcW w:w="768" w:type="dxa"/>
            <w:shd w:val="clear" w:color="auto" w:fill="F2F2F2" w:themeFill="background1" w:themeFillShade="F2"/>
            <w:vAlign w:val="center"/>
          </w:tcPr>
          <w:p w14:paraId="3E91AAB8" w14:textId="77777777" w:rsidR="00977835" w:rsidRPr="00FD711F" w:rsidRDefault="00977835" w:rsidP="00D5720D">
            <w:pPr>
              <w:rPr>
                <w:rFonts w:ascii="Arial" w:hAnsi="Arial" w:cs="Arial"/>
                <w:color w:val="002060"/>
              </w:rPr>
            </w:pPr>
            <w:r w:rsidRPr="00FD711F">
              <w:rPr>
                <w:rFonts w:ascii="Arial" w:hAnsi="Arial" w:cs="Arial"/>
                <w:color w:val="002060"/>
                <w:lang w:val="en-US"/>
              </w:rPr>
              <w:t xml:space="preserve">Energy transformation plan </w:t>
            </w:r>
          </w:p>
        </w:tc>
        <w:tc>
          <w:tcPr>
            <w:tcW w:w="7371" w:type="dxa"/>
            <w:vAlign w:val="center"/>
          </w:tcPr>
          <w:p w14:paraId="754F2B62" w14:textId="16BB5C66" w:rsidR="00977835" w:rsidRPr="00C92E24" w:rsidRDefault="00977835" w:rsidP="00D5720D">
            <w:pPr>
              <w:rPr>
                <w:rFonts w:ascii="Arial" w:hAnsi="Arial" w:cs="Arial"/>
                <w:b/>
                <w:highlight w:val="green"/>
              </w:rPr>
            </w:pPr>
            <w:r w:rsidRPr="00C92E24">
              <w:rPr>
                <w:rFonts w:ascii="Arial" w:hAnsi="Arial" w:cs="Arial"/>
              </w:rPr>
              <w:t xml:space="preserve">This stage will develop the energy survey data into a detailed energy transformation plan including a schedule of all of the energy efficiency projects which could be completed, with cost estimates based on current market prices with associated timing plans. </w:t>
            </w:r>
            <w:r w:rsidR="00240C22" w:rsidRPr="00C92E24">
              <w:rPr>
                <w:rFonts w:ascii="Arial" w:hAnsi="Arial" w:cs="Arial"/>
              </w:rPr>
              <w:t xml:space="preserve">This forms the basis of a plan which looks at </w:t>
            </w:r>
            <w:r w:rsidR="00254E71" w:rsidRPr="00C92E24">
              <w:rPr>
                <w:rFonts w:ascii="Arial" w:hAnsi="Arial" w:cs="Arial"/>
              </w:rPr>
              <w:t xml:space="preserve">funding options, phasing and prioritisation. </w:t>
            </w:r>
          </w:p>
        </w:tc>
      </w:tr>
      <w:tr w:rsidR="00D5720D" w:rsidRPr="00FD711F" w14:paraId="4B303B6E" w14:textId="77777777" w:rsidTr="00FD711F">
        <w:trPr>
          <w:trHeight w:val="1630"/>
        </w:trPr>
        <w:tc>
          <w:tcPr>
            <w:tcW w:w="791" w:type="dxa"/>
            <w:shd w:val="clear" w:color="auto" w:fill="002060"/>
            <w:vAlign w:val="center"/>
          </w:tcPr>
          <w:p w14:paraId="31EE343D" w14:textId="77777777" w:rsidR="00977835" w:rsidRPr="00FD711F" w:rsidRDefault="00977835" w:rsidP="00D5720D">
            <w:pPr>
              <w:rPr>
                <w:rFonts w:ascii="Arial" w:hAnsi="Arial" w:cs="Arial"/>
              </w:rPr>
            </w:pPr>
            <w:r w:rsidRPr="00FD711F">
              <w:rPr>
                <w:rFonts w:ascii="Arial" w:hAnsi="Arial" w:cs="Arial"/>
              </w:rPr>
              <w:lastRenderedPageBreak/>
              <w:t>Stage 5</w:t>
            </w:r>
          </w:p>
        </w:tc>
        <w:tc>
          <w:tcPr>
            <w:tcW w:w="768" w:type="dxa"/>
            <w:shd w:val="clear" w:color="auto" w:fill="F2F2F2" w:themeFill="background1" w:themeFillShade="F2"/>
            <w:vAlign w:val="center"/>
          </w:tcPr>
          <w:p w14:paraId="1A56D3EA" w14:textId="77777777" w:rsidR="00977835" w:rsidRPr="00FD711F" w:rsidRDefault="00977835" w:rsidP="00D5720D">
            <w:pPr>
              <w:rPr>
                <w:rFonts w:ascii="Arial" w:hAnsi="Arial" w:cs="Arial"/>
                <w:color w:val="002060"/>
              </w:rPr>
            </w:pPr>
            <w:r w:rsidRPr="00FD711F">
              <w:rPr>
                <w:rFonts w:ascii="Arial" w:hAnsi="Arial" w:cs="Arial"/>
                <w:color w:val="002060"/>
              </w:rPr>
              <w:t>Analysis</w:t>
            </w:r>
          </w:p>
        </w:tc>
        <w:tc>
          <w:tcPr>
            <w:tcW w:w="7371" w:type="dxa"/>
            <w:vAlign w:val="center"/>
          </w:tcPr>
          <w:p w14:paraId="100C83FD" w14:textId="5F46DA0D" w:rsidR="00977835" w:rsidRPr="00C92E24" w:rsidRDefault="00977835" w:rsidP="00D5720D">
            <w:pPr>
              <w:rPr>
                <w:rFonts w:ascii="Arial" w:hAnsi="Arial" w:cs="Arial"/>
                <w:b/>
                <w:lang w:val="en-US"/>
              </w:rPr>
            </w:pPr>
            <w:r w:rsidRPr="00C92E24">
              <w:rPr>
                <w:rFonts w:ascii="Arial" w:hAnsi="Arial" w:cs="Arial"/>
                <w:lang w:val="en-US"/>
              </w:rPr>
              <w:t xml:space="preserve">Collecting, analysing and presenting data plays a key role in measuring the success of energy transformation.  Using real time data presented in a simple format is key to monitoring energy usage and costs across the estate. This stage will focus on how the Trust reports and analyses data collected </w:t>
            </w:r>
            <w:r w:rsidR="00810BF5" w:rsidRPr="00C92E24">
              <w:rPr>
                <w:rFonts w:ascii="Arial" w:hAnsi="Arial" w:cs="Arial"/>
                <w:lang w:val="en-US"/>
              </w:rPr>
              <w:t>from a number of sources and considers how we benchmark ourselves.</w:t>
            </w:r>
          </w:p>
        </w:tc>
      </w:tr>
      <w:tr w:rsidR="00D5720D" w:rsidRPr="00FD711F" w14:paraId="5CB1FD5B" w14:textId="77777777" w:rsidTr="00FD711F">
        <w:trPr>
          <w:trHeight w:val="1201"/>
        </w:trPr>
        <w:tc>
          <w:tcPr>
            <w:tcW w:w="791" w:type="dxa"/>
            <w:shd w:val="clear" w:color="auto" w:fill="002060"/>
            <w:vAlign w:val="center"/>
          </w:tcPr>
          <w:p w14:paraId="1464BF7C" w14:textId="77777777" w:rsidR="00977835" w:rsidRPr="00FD711F" w:rsidRDefault="00977835" w:rsidP="00D5720D">
            <w:pPr>
              <w:rPr>
                <w:rFonts w:ascii="Arial" w:hAnsi="Arial" w:cs="Arial"/>
              </w:rPr>
            </w:pPr>
            <w:r w:rsidRPr="00FD711F">
              <w:rPr>
                <w:rFonts w:ascii="Arial" w:hAnsi="Arial" w:cs="Arial"/>
              </w:rPr>
              <w:t>Stage 6</w:t>
            </w:r>
          </w:p>
        </w:tc>
        <w:tc>
          <w:tcPr>
            <w:tcW w:w="768" w:type="dxa"/>
            <w:shd w:val="clear" w:color="auto" w:fill="F2F2F2" w:themeFill="background1" w:themeFillShade="F2"/>
            <w:vAlign w:val="center"/>
          </w:tcPr>
          <w:p w14:paraId="7812A753" w14:textId="77777777" w:rsidR="00977835" w:rsidRPr="00FD711F" w:rsidRDefault="00977835" w:rsidP="00D5720D">
            <w:pPr>
              <w:rPr>
                <w:rFonts w:ascii="Arial" w:hAnsi="Arial" w:cs="Arial"/>
                <w:color w:val="002060"/>
                <w:lang w:val="en-US"/>
              </w:rPr>
            </w:pPr>
            <w:r w:rsidRPr="00FD711F">
              <w:rPr>
                <w:rFonts w:ascii="Arial" w:hAnsi="Arial" w:cs="Arial"/>
                <w:color w:val="002060"/>
                <w:lang w:val="en-US"/>
              </w:rPr>
              <w:t>Funding</w:t>
            </w:r>
          </w:p>
        </w:tc>
        <w:tc>
          <w:tcPr>
            <w:tcW w:w="7371" w:type="dxa"/>
            <w:vAlign w:val="center"/>
          </w:tcPr>
          <w:p w14:paraId="7EAA0C97" w14:textId="1A8579C7" w:rsidR="00977835" w:rsidRPr="00C92E24" w:rsidRDefault="00977835" w:rsidP="00D5720D">
            <w:pPr>
              <w:rPr>
                <w:rFonts w:ascii="Arial" w:hAnsi="Arial" w:cs="Arial"/>
                <w:b/>
                <w:highlight w:val="green"/>
                <w:lang w:val="en-US"/>
              </w:rPr>
            </w:pPr>
            <w:r w:rsidRPr="00C92E24">
              <w:rPr>
                <w:rFonts w:ascii="Arial" w:hAnsi="Arial" w:cs="Arial"/>
                <w:lang w:val="en-US"/>
              </w:rPr>
              <w:t xml:space="preserve">The capital investment required to undertake the energy transformation process </w:t>
            </w:r>
            <w:r w:rsidR="00810BF5" w:rsidRPr="00C92E24">
              <w:rPr>
                <w:rFonts w:ascii="Arial" w:hAnsi="Arial" w:cs="Arial"/>
                <w:lang w:val="en-US"/>
              </w:rPr>
              <w:t>is a potential barrier</w:t>
            </w:r>
            <w:r w:rsidRPr="00C92E24">
              <w:rPr>
                <w:rFonts w:ascii="Arial" w:hAnsi="Arial" w:cs="Arial"/>
                <w:lang w:val="en-US"/>
              </w:rPr>
              <w:t xml:space="preserve">. There are a range of </w:t>
            </w:r>
            <w:r w:rsidR="00810BF5" w:rsidRPr="00C92E24">
              <w:rPr>
                <w:rFonts w:ascii="Arial" w:hAnsi="Arial" w:cs="Arial"/>
                <w:lang w:val="en-US"/>
              </w:rPr>
              <w:t>options which will need to be appraised</w:t>
            </w:r>
            <w:r w:rsidRPr="00C92E24">
              <w:rPr>
                <w:rFonts w:ascii="Arial" w:hAnsi="Arial" w:cs="Arial"/>
                <w:lang w:val="en-US"/>
              </w:rPr>
              <w:t>.</w:t>
            </w:r>
          </w:p>
        </w:tc>
      </w:tr>
      <w:tr w:rsidR="00D5720D" w:rsidRPr="00FD711F" w14:paraId="19A49EA0" w14:textId="77777777" w:rsidTr="00FD711F">
        <w:trPr>
          <w:trHeight w:val="1458"/>
        </w:trPr>
        <w:tc>
          <w:tcPr>
            <w:tcW w:w="791" w:type="dxa"/>
            <w:shd w:val="clear" w:color="auto" w:fill="002060"/>
            <w:vAlign w:val="center"/>
          </w:tcPr>
          <w:p w14:paraId="335179AE" w14:textId="77777777" w:rsidR="00977835" w:rsidRPr="00FD711F" w:rsidRDefault="00977835" w:rsidP="00D5720D">
            <w:pPr>
              <w:rPr>
                <w:rFonts w:ascii="Arial" w:hAnsi="Arial" w:cs="Arial"/>
              </w:rPr>
            </w:pPr>
            <w:r w:rsidRPr="00FD711F">
              <w:rPr>
                <w:rFonts w:ascii="Arial" w:hAnsi="Arial" w:cs="Arial"/>
              </w:rPr>
              <w:t>Stage 7</w:t>
            </w:r>
          </w:p>
        </w:tc>
        <w:tc>
          <w:tcPr>
            <w:tcW w:w="768" w:type="dxa"/>
            <w:shd w:val="clear" w:color="auto" w:fill="F2F2F2" w:themeFill="background1" w:themeFillShade="F2"/>
            <w:vAlign w:val="center"/>
          </w:tcPr>
          <w:p w14:paraId="57B5D815" w14:textId="77777777" w:rsidR="00977835" w:rsidRPr="00FD711F" w:rsidRDefault="00977835" w:rsidP="00D5720D">
            <w:pPr>
              <w:rPr>
                <w:rFonts w:ascii="Arial" w:hAnsi="Arial" w:cs="Arial"/>
                <w:color w:val="002060"/>
                <w:lang w:val="en-US"/>
              </w:rPr>
            </w:pPr>
            <w:r w:rsidRPr="00FD711F">
              <w:rPr>
                <w:rFonts w:ascii="Arial" w:hAnsi="Arial" w:cs="Arial"/>
                <w:color w:val="002060"/>
                <w:lang w:val="en-US"/>
              </w:rPr>
              <w:t>Implementation</w:t>
            </w:r>
          </w:p>
        </w:tc>
        <w:tc>
          <w:tcPr>
            <w:tcW w:w="7371" w:type="dxa"/>
            <w:vAlign w:val="center"/>
          </w:tcPr>
          <w:p w14:paraId="762F8F98" w14:textId="2EA41343" w:rsidR="00977835" w:rsidRPr="00C92E24" w:rsidRDefault="00977835" w:rsidP="00D5720D">
            <w:pPr>
              <w:rPr>
                <w:rFonts w:ascii="Arial" w:hAnsi="Arial" w:cs="Arial"/>
                <w:highlight w:val="green"/>
              </w:rPr>
            </w:pPr>
            <w:r w:rsidRPr="00C92E24">
              <w:rPr>
                <w:rFonts w:ascii="Arial" w:hAnsi="Arial" w:cs="Arial"/>
              </w:rPr>
              <w:t>Once the scope of work and funding has been agreed and funding is approved, an implementation plan will be developed.</w:t>
            </w:r>
          </w:p>
        </w:tc>
      </w:tr>
    </w:tbl>
    <w:p w14:paraId="406484F9" w14:textId="77777777" w:rsidR="009C3978" w:rsidRDefault="009C3978" w:rsidP="002F4A3C">
      <w:pPr>
        <w:ind w:left="357"/>
        <w:jc w:val="both"/>
        <w:rPr>
          <w:rFonts w:ascii="Arial" w:hAnsi="Arial" w:cs="Arial"/>
          <w:sz w:val="24"/>
        </w:rPr>
      </w:pPr>
    </w:p>
    <w:p w14:paraId="75BAB3C1" w14:textId="4F3A33BE" w:rsidR="008E6B5B" w:rsidRPr="00355C92" w:rsidRDefault="00362845" w:rsidP="00835E59">
      <w:pPr>
        <w:pStyle w:val="Heading2"/>
      </w:pPr>
      <w:bookmarkStart w:id="14" w:name="_Toc114170234"/>
      <w:r w:rsidRPr="00355C92">
        <w:t>Delivering carbon reduction strategy – identified projects and opp</w:t>
      </w:r>
      <w:r w:rsidR="0048602E" w:rsidRPr="00355C92">
        <w:t>ortunities</w:t>
      </w:r>
      <w:bookmarkEnd w:id="14"/>
    </w:p>
    <w:p w14:paraId="02344A94" w14:textId="77777777" w:rsidR="005A46DC" w:rsidRDefault="002C618F" w:rsidP="003116AA">
      <w:pPr>
        <w:rPr>
          <w:rFonts w:ascii="Arial" w:hAnsi="Arial" w:cs="Arial"/>
          <w:sz w:val="24"/>
        </w:rPr>
      </w:pPr>
      <w:r>
        <w:rPr>
          <w:rFonts w:ascii="Arial" w:hAnsi="Arial" w:cs="Arial"/>
          <w:sz w:val="24"/>
        </w:rPr>
        <w:t xml:space="preserve">These are detailed in </w:t>
      </w:r>
      <w:r w:rsidR="005A46DC">
        <w:rPr>
          <w:rFonts w:ascii="Arial" w:hAnsi="Arial" w:cs="Arial"/>
          <w:sz w:val="24"/>
        </w:rPr>
        <w:t>the roadmap in section 7.</w:t>
      </w:r>
    </w:p>
    <w:p w14:paraId="31DCDCFC" w14:textId="79DF2FA8" w:rsidR="003116AA" w:rsidRDefault="003116AA" w:rsidP="003116AA">
      <w:pPr>
        <w:rPr>
          <w:rFonts w:ascii="Arial" w:hAnsi="Arial" w:cs="Arial"/>
          <w:sz w:val="24"/>
        </w:rPr>
      </w:pPr>
      <w:r w:rsidRPr="00355C92">
        <w:rPr>
          <w:rFonts w:ascii="Arial" w:hAnsi="Arial" w:cs="Arial"/>
          <w:sz w:val="24"/>
        </w:rPr>
        <w:t xml:space="preserve">The following have been identified as </w:t>
      </w:r>
      <w:r w:rsidR="00355C92" w:rsidRPr="00355C92">
        <w:rPr>
          <w:rFonts w:ascii="Arial" w:hAnsi="Arial" w:cs="Arial"/>
          <w:sz w:val="24"/>
        </w:rPr>
        <w:t>priorities for the next 12 months</w:t>
      </w:r>
      <w:r w:rsidR="00355C92">
        <w:rPr>
          <w:rFonts w:ascii="Arial" w:hAnsi="Arial" w:cs="Arial"/>
          <w:sz w:val="24"/>
        </w:rPr>
        <w:t>:</w:t>
      </w:r>
    </w:p>
    <w:p w14:paraId="1964E01B" w14:textId="77777777" w:rsidR="00355C92" w:rsidRDefault="00355C92" w:rsidP="003116AA">
      <w:pPr>
        <w:rPr>
          <w:rFonts w:ascii="Arial" w:hAnsi="Arial" w:cs="Arial"/>
          <w:sz w:val="24"/>
        </w:rPr>
      </w:pPr>
    </w:p>
    <w:p w14:paraId="7700FAD8" w14:textId="77777777" w:rsidR="00355C92" w:rsidRDefault="00355C92" w:rsidP="003116AA">
      <w:pPr>
        <w:rPr>
          <w:rFonts w:ascii="Arial" w:hAnsi="Arial" w:cs="Arial"/>
          <w:sz w:val="24"/>
        </w:rPr>
      </w:pPr>
    </w:p>
    <w:p w14:paraId="6170F052" w14:textId="77777777" w:rsidR="00355C92" w:rsidRDefault="00355C92" w:rsidP="003116AA">
      <w:pPr>
        <w:rPr>
          <w:rFonts w:ascii="Arial" w:hAnsi="Arial" w:cs="Arial"/>
          <w:sz w:val="24"/>
        </w:rPr>
      </w:pPr>
    </w:p>
    <w:p w14:paraId="240CB9DE" w14:textId="77777777" w:rsidR="00355C92" w:rsidRDefault="00355C92" w:rsidP="003116AA">
      <w:pPr>
        <w:rPr>
          <w:rFonts w:ascii="Arial" w:hAnsi="Arial" w:cs="Arial"/>
          <w:sz w:val="24"/>
        </w:rPr>
      </w:pPr>
    </w:p>
    <w:p w14:paraId="071B76D1" w14:textId="77777777" w:rsidR="00355C92" w:rsidRDefault="00355C92" w:rsidP="003116AA">
      <w:pPr>
        <w:rPr>
          <w:rFonts w:ascii="Arial" w:hAnsi="Arial" w:cs="Arial"/>
          <w:sz w:val="24"/>
        </w:rPr>
      </w:pPr>
    </w:p>
    <w:p w14:paraId="69ECDC69" w14:textId="77777777" w:rsidR="00355C92" w:rsidRDefault="00355C92" w:rsidP="003116AA">
      <w:pPr>
        <w:rPr>
          <w:rFonts w:ascii="Arial" w:hAnsi="Arial" w:cs="Arial"/>
          <w:sz w:val="24"/>
        </w:rPr>
      </w:pPr>
    </w:p>
    <w:p w14:paraId="65D73000" w14:textId="77777777" w:rsidR="00355C92" w:rsidRDefault="00355C92" w:rsidP="003116AA">
      <w:pPr>
        <w:rPr>
          <w:rFonts w:ascii="Arial" w:hAnsi="Arial" w:cs="Arial"/>
          <w:sz w:val="24"/>
        </w:rPr>
      </w:pPr>
    </w:p>
    <w:p w14:paraId="01210D58" w14:textId="77777777" w:rsidR="00355C92" w:rsidRDefault="00355C92" w:rsidP="003116AA">
      <w:pPr>
        <w:rPr>
          <w:rFonts w:ascii="Arial" w:hAnsi="Arial" w:cs="Arial"/>
          <w:sz w:val="24"/>
        </w:rPr>
      </w:pPr>
    </w:p>
    <w:p w14:paraId="45A72B66" w14:textId="77777777" w:rsidR="00355C92" w:rsidRDefault="00355C92" w:rsidP="003116AA">
      <w:pPr>
        <w:rPr>
          <w:rFonts w:ascii="Arial" w:hAnsi="Arial" w:cs="Arial"/>
          <w:sz w:val="24"/>
        </w:rPr>
      </w:pPr>
    </w:p>
    <w:p w14:paraId="543C1FCA" w14:textId="77777777" w:rsidR="00355C92" w:rsidRDefault="00355C92" w:rsidP="003116AA">
      <w:pPr>
        <w:rPr>
          <w:rFonts w:ascii="Arial" w:hAnsi="Arial" w:cs="Arial"/>
          <w:sz w:val="24"/>
        </w:rPr>
      </w:pPr>
    </w:p>
    <w:p w14:paraId="09709F5D" w14:textId="77777777" w:rsidR="00355C92" w:rsidRDefault="00355C92" w:rsidP="003116AA">
      <w:pPr>
        <w:rPr>
          <w:rFonts w:ascii="Arial" w:hAnsi="Arial" w:cs="Arial"/>
          <w:sz w:val="24"/>
        </w:rPr>
      </w:pPr>
    </w:p>
    <w:p w14:paraId="170272CF" w14:textId="77777777" w:rsidR="00355C92" w:rsidRDefault="00355C92" w:rsidP="003116AA">
      <w:pPr>
        <w:rPr>
          <w:rFonts w:ascii="Arial" w:hAnsi="Arial" w:cs="Arial"/>
          <w:sz w:val="24"/>
        </w:rPr>
      </w:pPr>
    </w:p>
    <w:p w14:paraId="661D451E" w14:textId="77777777" w:rsidR="00355C92" w:rsidRDefault="00355C92" w:rsidP="003116AA">
      <w:pPr>
        <w:rPr>
          <w:rFonts w:ascii="Arial" w:hAnsi="Arial" w:cs="Arial"/>
          <w:sz w:val="24"/>
        </w:rPr>
      </w:pPr>
    </w:p>
    <w:p w14:paraId="4C7A0F65" w14:textId="77777777" w:rsidR="00355C92" w:rsidRDefault="00355C92" w:rsidP="003116AA">
      <w:pPr>
        <w:rPr>
          <w:rFonts w:ascii="Arial" w:hAnsi="Arial" w:cs="Arial"/>
          <w:sz w:val="24"/>
        </w:rPr>
      </w:pPr>
    </w:p>
    <w:p w14:paraId="74D34F21" w14:textId="77777777" w:rsidR="00355C92" w:rsidRDefault="00355C92" w:rsidP="003116AA">
      <w:pPr>
        <w:rPr>
          <w:rFonts w:ascii="Arial" w:hAnsi="Arial" w:cs="Arial"/>
          <w:sz w:val="24"/>
        </w:rPr>
      </w:pPr>
    </w:p>
    <w:p w14:paraId="43ECD211" w14:textId="77777777" w:rsidR="00355C92" w:rsidRDefault="00355C92" w:rsidP="003116AA">
      <w:pPr>
        <w:rPr>
          <w:rFonts w:ascii="Arial" w:hAnsi="Arial" w:cs="Arial"/>
          <w:sz w:val="24"/>
        </w:rPr>
      </w:pPr>
    </w:p>
    <w:p w14:paraId="11BEC6E6" w14:textId="77777777" w:rsidR="00355C92" w:rsidRDefault="00355C92" w:rsidP="003116AA">
      <w:pPr>
        <w:rPr>
          <w:rFonts w:ascii="Arial" w:hAnsi="Arial" w:cs="Arial"/>
          <w:sz w:val="24"/>
        </w:rPr>
      </w:pPr>
    </w:p>
    <w:p w14:paraId="7B312918" w14:textId="77777777" w:rsidR="00355C92" w:rsidRPr="00355C92" w:rsidRDefault="00355C92" w:rsidP="003116AA">
      <w:pPr>
        <w:rPr>
          <w:rFonts w:ascii="Arial" w:hAnsi="Arial" w:cs="Arial"/>
          <w:sz w:val="24"/>
        </w:rPr>
      </w:pPr>
    </w:p>
    <w:p w14:paraId="55429E9E" w14:textId="77777777" w:rsidR="0048602E" w:rsidRDefault="0048602E" w:rsidP="002F4A3C">
      <w:pPr>
        <w:ind w:left="357"/>
        <w:jc w:val="both"/>
        <w:rPr>
          <w:rFonts w:ascii="Arial" w:hAnsi="Arial" w:cs="Arial"/>
          <w:sz w:val="24"/>
        </w:rPr>
      </w:pPr>
    </w:p>
    <w:p w14:paraId="5F49C5F9" w14:textId="77777777" w:rsidR="008B425A" w:rsidRDefault="008B425A" w:rsidP="002F4A3C">
      <w:pPr>
        <w:ind w:left="357"/>
        <w:jc w:val="both"/>
        <w:rPr>
          <w:rFonts w:ascii="Arial" w:hAnsi="Arial" w:cs="Arial"/>
          <w:sz w:val="24"/>
        </w:rPr>
      </w:pPr>
    </w:p>
    <w:p w14:paraId="34A75937" w14:textId="34E0DF6C" w:rsidR="008B425A" w:rsidRPr="002F7186" w:rsidRDefault="008B425A" w:rsidP="002F7186">
      <w:pPr>
        <w:pStyle w:val="Heading1"/>
      </w:pPr>
      <w:bookmarkStart w:id="15" w:name="_Toc114170235"/>
      <w:r w:rsidRPr="002F7186">
        <w:t>Resources</w:t>
      </w:r>
      <w:bookmarkEnd w:id="15"/>
    </w:p>
    <w:p w14:paraId="2FFD3796" w14:textId="1FBB60FF" w:rsidR="006B3418" w:rsidRPr="006B3418" w:rsidRDefault="00590AF5" w:rsidP="002440C0">
      <w:pPr>
        <w:ind w:left="360"/>
        <w:jc w:val="both"/>
        <w:rPr>
          <w:rFonts w:ascii="Arial" w:hAnsi="Arial" w:cs="Arial"/>
          <w:sz w:val="24"/>
        </w:rPr>
      </w:pPr>
      <w:r>
        <w:rPr>
          <w:rFonts w:ascii="Arial" w:hAnsi="Arial" w:cs="Arial"/>
          <w:sz w:val="24"/>
        </w:rPr>
        <w:t xml:space="preserve">To deliver the plan it is necessary to have a strong governance process in place that provides accountability, </w:t>
      </w:r>
      <w:r w:rsidR="00E3318F">
        <w:rPr>
          <w:rFonts w:ascii="Arial" w:hAnsi="Arial" w:cs="Arial"/>
          <w:sz w:val="24"/>
        </w:rPr>
        <w:t>delegates responsibility and provides adequate resources and training to enable the plan to be successf</w:t>
      </w:r>
      <w:r w:rsidR="00645457">
        <w:rPr>
          <w:rFonts w:ascii="Arial" w:hAnsi="Arial" w:cs="Arial"/>
          <w:sz w:val="24"/>
        </w:rPr>
        <w:t>ul.</w:t>
      </w:r>
      <w:r w:rsidR="006B3418" w:rsidRPr="006B3418">
        <w:rPr>
          <w:rFonts w:ascii="Times New Roman" w:eastAsia="Times New Roman" w:hAnsi="Times New Roman" w:cs="Times New Roman"/>
          <w:sz w:val="24"/>
          <w:szCs w:val="24"/>
          <w:lang w:eastAsia="en-GB"/>
        </w:rPr>
        <w:t xml:space="preserve"> </w:t>
      </w:r>
      <w:r w:rsidR="006B3418" w:rsidRPr="006B3418">
        <w:rPr>
          <w:rFonts w:ascii="Arial" w:hAnsi="Arial" w:cs="Arial"/>
          <w:sz w:val="24"/>
        </w:rPr>
        <w:t>Behavioural</w:t>
      </w:r>
    </w:p>
    <w:p w14:paraId="7829C08F" w14:textId="31E61BB7" w:rsidR="00645457" w:rsidRDefault="00645457" w:rsidP="00A77599">
      <w:pPr>
        <w:pStyle w:val="Heading2"/>
      </w:pPr>
      <w:bookmarkStart w:id="16" w:name="_Toc114170236"/>
      <w:r>
        <w:t>Governance Structure</w:t>
      </w:r>
      <w:bookmarkEnd w:id="16"/>
    </w:p>
    <w:p w14:paraId="71C3523B" w14:textId="2BC95342" w:rsidR="00A77599" w:rsidRDefault="006F6A23" w:rsidP="002F4A3C">
      <w:pPr>
        <w:ind w:left="357"/>
        <w:jc w:val="both"/>
        <w:rPr>
          <w:rFonts w:ascii="Arial" w:hAnsi="Arial" w:cs="Arial"/>
          <w:sz w:val="24"/>
        </w:rPr>
      </w:pPr>
      <w:r>
        <w:rPr>
          <w:rFonts w:ascii="Arial" w:hAnsi="Arial" w:cs="Arial"/>
          <w:noProof/>
          <w:sz w:val="24"/>
        </w:rPr>
        <w:drawing>
          <wp:inline distT="0" distB="0" distL="0" distR="0" wp14:anchorId="658BE08B" wp14:editId="05B40A8C">
            <wp:extent cx="5486400" cy="2962275"/>
            <wp:effectExtent l="19050" t="0" r="38100" b="28575"/>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1E412FB" w14:textId="2DDC6513" w:rsidR="002440C0" w:rsidRDefault="002440C0">
      <w:pPr>
        <w:rPr>
          <w:rFonts w:ascii="Arial" w:hAnsi="Arial" w:cs="Arial"/>
          <w:sz w:val="24"/>
        </w:rPr>
      </w:pPr>
      <w:r>
        <w:rPr>
          <w:rFonts w:ascii="Arial" w:hAnsi="Arial" w:cs="Arial"/>
          <w:sz w:val="24"/>
        </w:rPr>
        <w:br w:type="page"/>
      </w:r>
    </w:p>
    <w:p w14:paraId="7B1E5C66" w14:textId="77777777" w:rsidR="00A77599" w:rsidRDefault="00A77599" w:rsidP="002F4A3C">
      <w:pPr>
        <w:ind w:left="357"/>
        <w:jc w:val="both"/>
        <w:rPr>
          <w:rFonts w:ascii="Arial" w:hAnsi="Arial" w:cs="Arial"/>
          <w:sz w:val="24"/>
        </w:rPr>
      </w:pPr>
    </w:p>
    <w:p w14:paraId="23D06978" w14:textId="6D36944C" w:rsidR="00645457" w:rsidRPr="00797014" w:rsidRDefault="00EC5380" w:rsidP="00797014">
      <w:pPr>
        <w:pStyle w:val="Heading2"/>
      </w:pPr>
      <w:bookmarkStart w:id="17" w:name="_Toc114170237"/>
      <w:r w:rsidRPr="00797014">
        <w:t>Roles and Responsibilities</w:t>
      </w:r>
      <w:bookmarkEnd w:id="17"/>
    </w:p>
    <w:p w14:paraId="1B7C11EA" w14:textId="77777777" w:rsidR="00797014" w:rsidRDefault="00797014" w:rsidP="002F4A3C">
      <w:pPr>
        <w:ind w:left="357"/>
        <w:jc w:val="both"/>
        <w:rPr>
          <w:rFonts w:ascii="Arial" w:hAnsi="Arial" w:cs="Arial"/>
          <w:sz w:val="24"/>
        </w:rPr>
      </w:pPr>
      <w:r>
        <w:rPr>
          <w:rFonts w:ascii="Arial" w:hAnsi="Arial" w:cs="Arial"/>
          <w:sz w:val="24"/>
        </w:rPr>
        <w:t>The table below sets out the agreed roles and responsibilities as well as details of the team and individuals who are accountable and/or responsible for delivering this plan.</w:t>
      </w:r>
    </w:p>
    <w:tbl>
      <w:tblPr>
        <w:tblStyle w:val="TableGrid"/>
        <w:tblW w:w="0" w:type="auto"/>
        <w:tblInd w:w="421" w:type="dxa"/>
        <w:tblLook w:val="04A0" w:firstRow="1" w:lastRow="0" w:firstColumn="1" w:lastColumn="0" w:noHBand="0" w:noVBand="1"/>
      </w:tblPr>
      <w:tblGrid>
        <w:gridCol w:w="1701"/>
        <w:gridCol w:w="6894"/>
      </w:tblGrid>
      <w:tr w:rsidR="00AA4210" w:rsidRPr="00302B73" w14:paraId="6556F10B" w14:textId="77777777" w:rsidTr="00302B73">
        <w:trPr>
          <w:trHeight w:val="851"/>
        </w:trPr>
        <w:tc>
          <w:tcPr>
            <w:tcW w:w="1701" w:type="dxa"/>
            <w:shd w:val="clear" w:color="auto" w:fill="002060"/>
          </w:tcPr>
          <w:p w14:paraId="27551D4C" w14:textId="77777777" w:rsidR="00AA4210" w:rsidRPr="00302B73" w:rsidRDefault="00AA4210" w:rsidP="00AC6A05">
            <w:pPr>
              <w:pStyle w:val="MainNumber"/>
              <w:rPr>
                <w:rFonts w:ascii="Arial" w:hAnsi="Arial" w:cs="Arial"/>
                <w:b/>
                <w:bCs/>
                <w:color w:val="FFFFFF" w:themeColor="background1"/>
                <w:szCs w:val="20"/>
              </w:rPr>
            </w:pPr>
            <w:r w:rsidRPr="00302B73">
              <w:rPr>
                <w:rFonts w:ascii="Arial" w:hAnsi="Arial" w:cs="Arial"/>
                <w:b/>
                <w:bCs/>
                <w:color w:val="FFFFFF" w:themeColor="background1"/>
              </w:rPr>
              <w:t>Role</w:t>
            </w:r>
          </w:p>
        </w:tc>
        <w:tc>
          <w:tcPr>
            <w:tcW w:w="6894" w:type="dxa"/>
            <w:shd w:val="clear" w:color="auto" w:fill="002060"/>
          </w:tcPr>
          <w:p w14:paraId="0751B9F0" w14:textId="77777777" w:rsidR="00AA4210" w:rsidRPr="00302B73" w:rsidRDefault="00AA4210" w:rsidP="00AC6A05">
            <w:pPr>
              <w:pStyle w:val="MainNumber"/>
              <w:jc w:val="center"/>
              <w:rPr>
                <w:rFonts w:ascii="Arial" w:hAnsi="Arial" w:cs="Arial"/>
                <w:b/>
                <w:bCs/>
                <w:color w:val="FFFFFF" w:themeColor="background1"/>
                <w:szCs w:val="20"/>
              </w:rPr>
            </w:pPr>
            <w:r w:rsidRPr="00302B73">
              <w:rPr>
                <w:rFonts w:ascii="Arial" w:hAnsi="Arial" w:cs="Arial"/>
                <w:b/>
                <w:bCs/>
                <w:color w:val="FFFFFF" w:themeColor="background1"/>
              </w:rPr>
              <w:t>Responsibilities</w:t>
            </w:r>
          </w:p>
        </w:tc>
      </w:tr>
      <w:tr w:rsidR="00AA4210" w:rsidRPr="00302B73" w14:paraId="7DE318F5" w14:textId="77777777" w:rsidTr="00AA4210">
        <w:trPr>
          <w:trHeight w:val="665"/>
        </w:trPr>
        <w:tc>
          <w:tcPr>
            <w:tcW w:w="1701" w:type="dxa"/>
            <w:vAlign w:val="center"/>
          </w:tcPr>
          <w:p w14:paraId="536A306D" w14:textId="4D6B8AA1" w:rsidR="00AA4210" w:rsidRPr="009F5A9E" w:rsidRDefault="002A2267" w:rsidP="00AC6A05">
            <w:pPr>
              <w:pStyle w:val="MainNumber"/>
              <w:rPr>
                <w:rFonts w:ascii="Arial" w:hAnsi="Arial" w:cs="Arial"/>
                <w:b/>
                <w:bCs/>
              </w:rPr>
            </w:pPr>
            <w:r w:rsidRPr="009F5A9E">
              <w:rPr>
                <w:rFonts w:ascii="Arial" w:hAnsi="Arial" w:cs="Arial"/>
                <w:b/>
                <w:bCs/>
                <w:szCs w:val="20"/>
              </w:rPr>
              <w:t>Finance, Estates and Operations Committee</w:t>
            </w:r>
            <w:r w:rsidR="00AA4210" w:rsidRPr="009F5A9E">
              <w:rPr>
                <w:rFonts w:ascii="Arial" w:hAnsi="Arial" w:cs="Arial"/>
                <w:b/>
                <w:bCs/>
                <w:szCs w:val="20"/>
              </w:rPr>
              <w:t xml:space="preserve"> </w:t>
            </w:r>
          </w:p>
        </w:tc>
        <w:tc>
          <w:tcPr>
            <w:tcW w:w="6894" w:type="dxa"/>
            <w:vAlign w:val="center"/>
          </w:tcPr>
          <w:p w14:paraId="2BD0A1FC" w14:textId="77777777" w:rsidR="00AA4210" w:rsidRPr="009F5A9E" w:rsidRDefault="00AA4210" w:rsidP="00AC6A05">
            <w:pPr>
              <w:pStyle w:val="MainNumber"/>
              <w:rPr>
                <w:rFonts w:ascii="Arial" w:hAnsi="Arial" w:cs="Arial"/>
              </w:rPr>
            </w:pPr>
            <w:r w:rsidRPr="009F5A9E">
              <w:rPr>
                <w:rFonts w:ascii="Arial" w:hAnsi="Arial" w:cs="Arial"/>
                <w:szCs w:val="20"/>
              </w:rPr>
              <w:t>Providing strategic oversight of the project ensuring the project and programme reflects the aims of the Trust</w:t>
            </w:r>
          </w:p>
        </w:tc>
      </w:tr>
      <w:tr w:rsidR="00AA4210" w:rsidRPr="00302B73" w14:paraId="5D2C038D" w14:textId="77777777" w:rsidTr="00AA4210">
        <w:trPr>
          <w:trHeight w:val="665"/>
        </w:trPr>
        <w:tc>
          <w:tcPr>
            <w:tcW w:w="1701" w:type="dxa"/>
            <w:vAlign w:val="center"/>
          </w:tcPr>
          <w:p w14:paraId="0C417C19" w14:textId="75BD2A88" w:rsidR="00AA4210" w:rsidRPr="009F5A9E" w:rsidRDefault="00B51D60" w:rsidP="00AC6A05">
            <w:pPr>
              <w:pStyle w:val="MainNumber"/>
              <w:rPr>
                <w:rFonts w:ascii="Arial" w:hAnsi="Arial" w:cs="Arial"/>
                <w:b/>
                <w:bCs/>
              </w:rPr>
            </w:pPr>
            <w:r>
              <w:rPr>
                <w:rFonts w:ascii="Arial" w:hAnsi="Arial" w:cs="Arial"/>
                <w:b/>
                <w:bCs/>
                <w:szCs w:val="20"/>
              </w:rPr>
              <w:t>Energy Strategy Group</w:t>
            </w:r>
          </w:p>
        </w:tc>
        <w:tc>
          <w:tcPr>
            <w:tcW w:w="6894" w:type="dxa"/>
            <w:vAlign w:val="center"/>
          </w:tcPr>
          <w:p w14:paraId="47427FC2" w14:textId="5D49A987" w:rsidR="00AA4210" w:rsidRPr="009F5A9E" w:rsidRDefault="00AA4210" w:rsidP="00AC6A05">
            <w:pPr>
              <w:pStyle w:val="MainNumber"/>
              <w:rPr>
                <w:rFonts w:ascii="Arial" w:hAnsi="Arial" w:cs="Arial"/>
              </w:rPr>
            </w:pPr>
            <w:r w:rsidRPr="009F5A9E">
              <w:rPr>
                <w:rFonts w:ascii="Arial" w:hAnsi="Arial" w:cs="Arial"/>
                <w:szCs w:val="20"/>
              </w:rPr>
              <w:t>Executive decision-making group taking overall responsibility for the project on behalf of the Trust</w:t>
            </w:r>
            <w:r w:rsidR="008043A9">
              <w:rPr>
                <w:rFonts w:ascii="Arial" w:hAnsi="Arial" w:cs="Arial"/>
                <w:szCs w:val="20"/>
              </w:rPr>
              <w:t xml:space="preserve">. </w:t>
            </w:r>
            <w:r w:rsidR="008043A9" w:rsidRPr="009F5A9E">
              <w:rPr>
                <w:rFonts w:ascii="Arial" w:hAnsi="Arial" w:cs="Arial"/>
                <w:szCs w:val="20"/>
              </w:rPr>
              <w:t>This group operates as a project board</w:t>
            </w:r>
            <w:r w:rsidR="00E2337F">
              <w:rPr>
                <w:rFonts w:ascii="Arial" w:hAnsi="Arial" w:cs="Arial"/>
                <w:szCs w:val="20"/>
              </w:rPr>
              <w:t>.</w:t>
            </w:r>
          </w:p>
        </w:tc>
      </w:tr>
      <w:tr w:rsidR="00AA4210" w:rsidRPr="00302B73" w14:paraId="79F6A058" w14:textId="77777777" w:rsidTr="00AA4210">
        <w:trPr>
          <w:trHeight w:val="665"/>
        </w:trPr>
        <w:tc>
          <w:tcPr>
            <w:tcW w:w="1701" w:type="dxa"/>
            <w:vAlign w:val="center"/>
          </w:tcPr>
          <w:p w14:paraId="7C911C66" w14:textId="2766BF37" w:rsidR="00AA4210" w:rsidRPr="009F5A9E" w:rsidRDefault="00021075" w:rsidP="00AC6A05">
            <w:pPr>
              <w:pStyle w:val="MainNumber"/>
              <w:rPr>
                <w:rFonts w:ascii="Arial" w:hAnsi="Arial" w:cs="Arial"/>
                <w:b/>
                <w:bCs/>
                <w:szCs w:val="20"/>
              </w:rPr>
            </w:pPr>
            <w:r w:rsidRPr="009F5A9E">
              <w:rPr>
                <w:rFonts w:ascii="Arial" w:hAnsi="Arial" w:cs="Arial"/>
                <w:b/>
                <w:bCs/>
                <w:szCs w:val="20"/>
              </w:rPr>
              <w:t>Director of Operations</w:t>
            </w:r>
          </w:p>
        </w:tc>
        <w:tc>
          <w:tcPr>
            <w:tcW w:w="6894" w:type="dxa"/>
            <w:vAlign w:val="center"/>
          </w:tcPr>
          <w:p w14:paraId="65FB6FA3" w14:textId="619CD73C" w:rsidR="00AA4210" w:rsidRPr="009F5A9E" w:rsidRDefault="00021075" w:rsidP="00AC6A05">
            <w:pPr>
              <w:pStyle w:val="MainNumber"/>
              <w:rPr>
                <w:rFonts w:ascii="Arial" w:hAnsi="Arial" w:cs="Arial"/>
                <w:szCs w:val="20"/>
                <w:highlight w:val="green"/>
              </w:rPr>
            </w:pPr>
            <w:r w:rsidRPr="009F5A9E">
              <w:rPr>
                <w:rFonts w:ascii="Arial" w:hAnsi="Arial" w:cs="Arial"/>
                <w:szCs w:val="20"/>
              </w:rPr>
              <w:t xml:space="preserve">Director </w:t>
            </w:r>
            <w:r w:rsidR="00F43EA6" w:rsidRPr="009F5A9E">
              <w:rPr>
                <w:rFonts w:ascii="Arial" w:hAnsi="Arial" w:cs="Arial"/>
                <w:szCs w:val="20"/>
              </w:rPr>
              <w:t>of the Central Leadership Team</w:t>
            </w:r>
            <w:r w:rsidR="00AA4210" w:rsidRPr="009F5A9E">
              <w:rPr>
                <w:rFonts w:ascii="Arial" w:hAnsi="Arial" w:cs="Arial"/>
                <w:szCs w:val="20"/>
              </w:rPr>
              <w:t xml:space="preserve"> responsible for overall delivery of the decarbonisation programme and accountable to </w:t>
            </w:r>
            <w:r w:rsidR="00F43EA6" w:rsidRPr="009F5A9E">
              <w:rPr>
                <w:rFonts w:ascii="Arial" w:hAnsi="Arial" w:cs="Arial"/>
                <w:szCs w:val="20"/>
              </w:rPr>
              <w:t>FEOC</w:t>
            </w:r>
            <w:r w:rsidR="00AA4210" w:rsidRPr="009F5A9E">
              <w:rPr>
                <w:rFonts w:ascii="Arial" w:hAnsi="Arial" w:cs="Arial"/>
                <w:szCs w:val="20"/>
              </w:rPr>
              <w:t xml:space="preserve"> and </w:t>
            </w:r>
            <w:r w:rsidR="00F43EA6" w:rsidRPr="009F5A9E">
              <w:rPr>
                <w:rFonts w:ascii="Arial" w:hAnsi="Arial" w:cs="Arial"/>
                <w:szCs w:val="20"/>
              </w:rPr>
              <w:t>E</w:t>
            </w:r>
            <w:r w:rsidR="00AA4210" w:rsidRPr="009F5A9E">
              <w:rPr>
                <w:rFonts w:ascii="Arial" w:hAnsi="Arial" w:cs="Arial"/>
                <w:szCs w:val="20"/>
              </w:rPr>
              <w:t>LT for success against the agreed outcomes.</w:t>
            </w:r>
          </w:p>
        </w:tc>
      </w:tr>
      <w:tr w:rsidR="00AA4210" w:rsidRPr="00302B73" w14:paraId="16F33EA6" w14:textId="77777777" w:rsidTr="00AA4210">
        <w:trPr>
          <w:trHeight w:val="665"/>
        </w:trPr>
        <w:tc>
          <w:tcPr>
            <w:tcW w:w="1701" w:type="dxa"/>
            <w:vAlign w:val="center"/>
          </w:tcPr>
          <w:p w14:paraId="057251E6" w14:textId="16721213" w:rsidR="00AA4210" w:rsidRPr="009F5A9E" w:rsidRDefault="00F43EA6" w:rsidP="00AC6A05">
            <w:pPr>
              <w:pStyle w:val="MainNumber"/>
              <w:rPr>
                <w:rFonts w:ascii="Arial" w:hAnsi="Arial" w:cs="Arial"/>
                <w:b/>
                <w:bCs/>
              </w:rPr>
            </w:pPr>
            <w:r w:rsidRPr="009F5A9E">
              <w:rPr>
                <w:rFonts w:ascii="Arial" w:hAnsi="Arial" w:cs="Arial"/>
                <w:b/>
                <w:bCs/>
                <w:szCs w:val="20"/>
              </w:rPr>
              <w:t>Climate Change Strategic Group</w:t>
            </w:r>
          </w:p>
        </w:tc>
        <w:tc>
          <w:tcPr>
            <w:tcW w:w="6894" w:type="dxa"/>
            <w:vAlign w:val="center"/>
          </w:tcPr>
          <w:p w14:paraId="0DBC96D6" w14:textId="1751BC55" w:rsidR="00AA4210" w:rsidRPr="009F5A9E" w:rsidRDefault="007A2181" w:rsidP="00AC6A05">
            <w:pPr>
              <w:pStyle w:val="MainNumber"/>
              <w:rPr>
                <w:rFonts w:ascii="Arial" w:hAnsi="Arial" w:cs="Arial"/>
              </w:rPr>
            </w:pPr>
            <w:r>
              <w:rPr>
                <w:rFonts w:ascii="Arial" w:hAnsi="Arial" w:cs="Arial"/>
                <w:szCs w:val="20"/>
              </w:rPr>
              <w:t xml:space="preserve">This group </w:t>
            </w:r>
            <w:r w:rsidR="004601B0">
              <w:rPr>
                <w:rFonts w:ascii="Arial" w:hAnsi="Arial" w:cs="Arial"/>
                <w:szCs w:val="20"/>
              </w:rPr>
              <w:t>includes academy representatives and links the work undertaken by the central team with school-based work and ensures that school communities (pupils and staff) are engaged.</w:t>
            </w:r>
            <w:r w:rsidR="00AA4210" w:rsidRPr="009F5A9E">
              <w:rPr>
                <w:rFonts w:ascii="Arial" w:hAnsi="Arial" w:cs="Arial"/>
                <w:szCs w:val="20"/>
              </w:rPr>
              <w:t xml:space="preserve"> </w:t>
            </w:r>
          </w:p>
        </w:tc>
      </w:tr>
      <w:tr w:rsidR="00AA4210" w:rsidRPr="00302B73" w14:paraId="369EB955" w14:textId="77777777" w:rsidTr="00AA4210">
        <w:trPr>
          <w:trHeight w:val="665"/>
        </w:trPr>
        <w:tc>
          <w:tcPr>
            <w:tcW w:w="1701" w:type="dxa"/>
            <w:vAlign w:val="center"/>
          </w:tcPr>
          <w:p w14:paraId="6BA665FB" w14:textId="35B2C1E6" w:rsidR="00AA4210" w:rsidRPr="009F5A9E" w:rsidRDefault="00AA4210" w:rsidP="00AC6A05">
            <w:pPr>
              <w:pStyle w:val="MainNumber"/>
              <w:rPr>
                <w:rFonts w:ascii="Arial" w:hAnsi="Arial" w:cs="Arial"/>
                <w:b/>
                <w:szCs w:val="20"/>
              </w:rPr>
            </w:pPr>
            <w:r w:rsidRPr="009F5A9E">
              <w:rPr>
                <w:rFonts w:ascii="Arial" w:hAnsi="Arial" w:cs="Arial"/>
                <w:b/>
                <w:bCs/>
                <w:szCs w:val="20"/>
              </w:rPr>
              <w:t>Project Team</w:t>
            </w:r>
            <w:r w:rsidR="004601B0">
              <w:rPr>
                <w:rFonts w:ascii="Arial" w:hAnsi="Arial" w:cs="Arial"/>
                <w:b/>
                <w:bCs/>
                <w:szCs w:val="20"/>
              </w:rPr>
              <w:t>s</w:t>
            </w:r>
          </w:p>
        </w:tc>
        <w:tc>
          <w:tcPr>
            <w:tcW w:w="6894" w:type="dxa"/>
            <w:vAlign w:val="center"/>
          </w:tcPr>
          <w:p w14:paraId="69A33E6D" w14:textId="2E0A1378" w:rsidR="00AA4210" w:rsidRPr="009F5A9E" w:rsidRDefault="004601B0" w:rsidP="00AC6A05">
            <w:pPr>
              <w:pStyle w:val="MainNumber"/>
              <w:rPr>
                <w:rFonts w:ascii="Arial" w:hAnsi="Arial" w:cs="Arial"/>
                <w:szCs w:val="20"/>
              </w:rPr>
            </w:pPr>
            <w:r>
              <w:rPr>
                <w:rFonts w:ascii="Arial" w:hAnsi="Arial" w:cs="Arial"/>
                <w:szCs w:val="20"/>
              </w:rPr>
              <w:t>The composition of project teams will differ across the Trust</w:t>
            </w:r>
            <w:r w:rsidR="000056E4">
              <w:rPr>
                <w:rFonts w:ascii="Arial" w:hAnsi="Arial" w:cs="Arial"/>
                <w:szCs w:val="20"/>
              </w:rPr>
              <w:t xml:space="preserve"> depending on the workstream but </w:t>
            </w:r>
            <w:r w:rsidR="00071457">
              <w:rPr>
                <w:rFonts w:ascii="Arial" w:hAnsi="Arial" w:cs="Arial"/>
                <w:szCs w:val="20"/>
              </w:rPr>
              <w:t xml:space="preserve">is likely to </w:t>
            </w:r>
            <w:r w:rsidR="004A3215">
              <w:rPr>
                <w:rFonts w:ascii="Arial" w:hAnsi="Arial" w:cs="Arial"/>
                <w:szCs w:val="20"/>
              </w:rPr>
              <w:t>includes staff with expertise in finance, procurement and estates supported by</w:t>
            </w:r>
            <w:r w:rsidR="00DC1F03">
              <w:rPr>
                <w:rFonts w:ascii="Arial" w:hAnsi="Arial" w:cs="Arial"/>
                <w:szCs w:val="20"/>
              </w:rPr>
              <w:t xml:space="preserve"> others including marketing and ICT.</w:t>
            </w:r>
          </w:p>
        </w:tc>
      </w:tr>
    </w:tbl>
    <w:p w14:paraId="40A31AAA" w14:textId="401A9699" w:rsidR="005B6A87" w:rsidRDefault="005B6A87" w:rsidP="002F4A3C">
      <w:pPr>
        <w:ind w:left="357"/>
        <w:jc w:val="both"/>
        <w:rPr>
          <w:rFonts w:ascii="Arial" w:hAnsi="Arial" w:cs="Arial"/>
          <w:sz w:val="24"/>
        </w:rPr>
      </w:pPr>
    </w:p>
    <w:p w14:paraId="57103636" w14:textId="77777777" w:rsidR="005B6A87" w:rsidRDefault="005B6A87">
      <w:pPr>
        <w:rPr>
          <w:rFonts w:ascii="Arial" w:hAnsi="Arial" w:cs="Arial"/>
          <w:sz w:val="24"/>
        </w:rPr>
      </w:pPr>
      <w:r>
        <w:rPr>
          <w:rFonts w:ascii="Arial" w:hAnsi="Arial" w:cs="Arial"/>
          <w:sz w:val="24"/>
        </w:rPr>
        <w:br w:type="page"/>
      </w:r>
    </w:p>
    <w:p w14:paraId="3534A7EA" w14:textId="77777777" w:rsidR="00797014" w:rsidRDefault="00797014" w:rsidP="002F4A3C">
      <w:pPr>
        <w:ind w:left="357"/>
        <w:jc w:val="both"/>
        <w:rPr>
          <w:rFonts w:ascii="Arial" w:hAnsi="Arial" w:cs="Arial"/>
          <w:sz w:val="24"/>
        </w:rPr>
      </w:pPr>
    </w:p>
    <w:p w14:paraId="417642E1" w14:textId="1F0199F5" w:rsidR="00EC5380" w:rsidRPr="00A01ABF" w:rsidRDefault="00EC5380" w:rsidP="00A01ABF">
      <w:pPr>
        <w:pStyle w:val="Heading2"/>
      </w:pPr>
      <w:bookmarkStart w:id="18" w:name="_Toc114170238"/>
      <w:r w:rsidRPr="00A01ABF">
        <w:t xml:space="preserve">Delivering carbon reduction strategy </w:t>
      </w:r>
      <w:r w:rsidR="00404790" w:rsidRPr="00A01ABF">
        <w:t>–</w:t>
      </w:r>
      <w:r w:rsidRPr="00A01ABF">
        <w:t xml:space="preserve"> Work</w:t>
      </w:r>
      <w:r w:rsidR="00404790" w:rsidRPr="00A01ABF">
        <w:t>stream Management Model</w:t>
      </w:r>
      <w:bookmarkEnd w:id="18"/>
    </w:p>
    <w:p w14:paraId="4994EE33" w14:textId="77777777" w:rsidR="00A45A85" w:rsidRPr="00A45A85" w:rsidRDefault="00A45A85" w:rsidP="00A45A85">
      <w:pPr>
        <w:ind w:left="357"/>
        <w:jc w:val="both"/>
        <w:rPr>
          <w:rFonts w:ascii="Arial" w:hAnsi="Arial" w:cs="Arial"/>
          <w:sz w:val="24"/>
        </w:rPr>
      </w:pPr>
      <w:r w:rsidRPr="00A45A85">
        <w:rPr>
          <w:rFonts w:ascii="Arial" w:hAnsi="Arial" w:cs="Arial"/>
          <w:sz w:val="24"/>
        </w:rPr>
        <w:t xml:space="preserve">In order to drive forward the organisation’s decarbonisation plans the activity required is managed under four strategic workstreams. </w:t>
      </w:r>
    </w:p>
    <w:p w14:paraId="7182F231" w14:textId="77777777" w:rsidR="00A45A85" w:rsidRDefault="00A45A85" w:rsidP="00A45A85">
      <w:pPr>
        <w:ind w:left="357"/>
        <w:jc w:val="both"/>
        <w:rPr>
          <w:rFonts w:ascii="Arial" w:hAnsi="Arial" w:cs="Arial"/>
          <w:sz w:val="24"/>
        </w:rPr>
      </w:pPr>
      <w:r w:rsidRPr="00A45A85">
        <w:rPr>
          <w:rFonts w:ascii="Arial" w:hAnsi="Arial" w:cs="Arial"/>
          <w:sz w:val="24"/>
        </w:rPr>
        <w:t>This enables the creation of a team that has the right skills and capabilities to effect the changes required. The Terms of Reference for each Strategic Workstream is set out below.</w:t>
      </w:r>
    </w:p>
    <w:tbl>
      <w:tblPr>
        <w:tblStyle w:val="TableGrid"/>
        <w:tblW w:w="0" w:type="auto"/>
        <w:tblInd w:w="421" w:type="dxa"/>
        <w:tblLook w:val="04A0" w:firstRow="1" w:lastRow="0" w:firstColumn="1" w:lastColumn="0" w:noHBand="0" w:noVBand="1"/>
      </w:tblPr>
      <w:tblGrid>
        <w:gridCol w:w="1701"/>
        <w:gridCol w:w="6894"/>
      </w:tblGrid>
      <w:tr w:rsidR="00F24B08" w:rsidRPr="00302B73" w14:paraId="38149526" w14:textId="77777777" w:rsidTr="00AC6A05">
        <w:trPr>
          <w:trHeight w:val="851"/>
        </w:trPr>
        <w:tc>
          <w:tcPr>
            <w:tcW w:w="1701" w:type="dxa"/>
            <w:shd w:val="clear" w:color="auto" w:fill="002060"/>
          </w:tcPr>
          <w:p w14:paraId="270055B7" w14:textId="5EE1EB38" w:rsidR="00F24B08" w:rsidRPr="00302B73" w:rsidRDefault="00F24B08" w:rsidP="00AC6A05">
            <w:pPr>
              <w:pStyle w:val="MainNumber"/>
              <w:rPr>
                <w:rFonts w:ascii="Arial" w:hAnsi="Arial" w:cs="Arial"/>
                <w:b/>
                <w:bCs/>
                <w:color w:val="FFFFFF" w:themeColor="background1"/>
                <w:szCs w:val="20"/>
              </w:rPr>
            </w:pPr>
            <w:r>
              <w:rPr>
                <w:rFonts w:ascii="Arial" w:hAnsi="Arial" w:cs="Arial"/>
                <w:b/>
                <w:bCs/>
                <w:color w:val="FFFFFF" w:themeColor="background1"/>
                <w:szCs w:val="20"/>
              </w:rPr>
              <w:t>Workstream</w:t>
            </w:r>
          </w:p>
        </w:tc>
        <w:tc>
          <w:tcPr>
            <w:tcW w:w="6894" w:type="dxa"/>
            <w:shd w:val="clear" w:color="auto" w:fill="002060"/>
          </w:tcPr>
          <w:p w14:paraId="52E50C45" w14:textId="5F0616F1" w:rsidR="00F24B08" w:rsidRPr="00302B73" w:rsidRDefault="00F24B08" w:rsidP="00AC6A05">
            <w:pPr>
              <w:pStyle w:val="MainNumber"/>
              <w:jc w:val="center"/>
              <w:rPr>
                <w:rFonts w:ascii="Arial" w:hAnsi="Arial" w:cs="Arial"/>
                <w:b/>
                <w:bCs/>
                <w:color w:val="FFFFFF" w:themeColor="background1"/>
                <w:szCs w:val="20"/>
              </w:rPr>
            </w:pPr>
            <w:r>
              <w:rPr>
                <w:rFonts w:ascii="Arial" w:hAnsi="Arial" w:cs="Arial"/>
                <w:b/>
                <w:bCs/>
                <w:color w:val="FFFFFF" w:themeColor="background1"/>
              </w:rPr>
              <w:t>Terms of Reference</w:t>
            </w:r>
          </w:p>
        </w:tc>
      </w:tr>
      <w:tr w:rsidR="00F24B08" w:rsidRPr="00302B73" w14:paraId="6AABB26F" w14:textId="77777777" w:rsidTr="00AC6A05">
        <w:trPr>
          <w:trHeight w:val="665"/>
        </w:trPr>
        <w:tc>
          <w:tcPr>
            <w:tcW w:w="1701" w:type="dxa"/>
            <w:vAlign w:val="center"/>
          </w:tcPr>
          <w:p w14:paraId="08AAA3BB" w14:textId="0303A01E" w:rsidR="00F24B08" w:rsidRPr="009F5A9E" w:rsidRDefault="00F24B08" w:rsidP="00AC6A05">
            <w:pPr>
              <w:pStyle w:val="MainNumber"/>
              <w:rPr>
                <w:rFonts w:ascii="Arial" w:hAnsi="Arial" w:cs="Arial"/>
                <w:b/>
                <w:bCs/>
              </w:rPr>
            </w:pPr>
            <w:r>
              <w:rPr>
                <w:rFonts w:ascii="Arial" w:hAnsi="Arial" w:cs="Arial"/>
                <w:b/>
                <w:bCs/>
                <w:szCs w:val="20"/>
              </w:rPr>
              <w:t>Energy Procurement</w:t>
            </w:r>
            <w:r w:rsidRPr="009F5A9E">
              <w:rPr>
                <w:rFonts w:ascii="Arial" w:hAnsi="Arial" w:cs="Arial"/>
                <w:b/>
                <w:bCs/>
                <w:szCs w:val="20"/>
              </w:rPr>
              <w:t xml:space="preserve"> </w:t>
            </w:r>
          </w:p>
        </w:tc>
        <w:tc>
          <w:tcPr>
            <w:tcW w:w="6894" w:type="dxa"/>
            <w:vAlign w:val="center"/>
          </w:tcPr>
          <w:p w14:paraId="1557F702" w14:textId="34BBF55D" w:rsidR="00F24B08" w:rsidRPr="009F5A9E" w:rsidRDefault="00DC1F03" w:rsidP="00AC6A05">
            <w:pPr>
              <w:pStyle w:val="MainNumber"/>
              <w:rPr>
                <w:rFonts w:ascii="Arial" w:hAnsi="Arial" w:cs="Arial"/>
              </w:rPr>
            </w:pPr>
            <w:r>
              <w:rPr>
                <w:rFonts w:ascii="Arial" w:hAnsi="Arial" w:cs="Arial"/>
                <w:sz w:val="24"/>
                <w:szCs w:val="24"/>
              </w:rPr>
              <w:t>Res</w:t>
            </w:r>
            <w:r w:rsidR="00C4573D">
              <w:rPr>
                <w:rFonts w:ascii="Arial" w:hAnsi="Arial" w:cs="Arial"/>
                <w:sz w:val="24"/>
                <w:szCs w:val="24"/>
              </w:rPr>
              <w:t>ponsible for ensuring that the Trust b</w:t>
            </w:r>
            <w:r w:rsidRPr="00F91E49">
              <w:rPr>
                <w:rFonts w:ascii="Arial" w:hAnsi="Arial" w:cs="Arial"/>
                <w:sz w:val="24"/>
                <w:szCs w:val="24"/>
              </w:rPr>
              <w:t>uy</w:t>
            </w:r>
            <w:r w:rsidR="00C4573D">
              <w:rPr>
                <w:rFonts w:ascii="Arial" w:hAnsi="Arial" w:cs="Arial"/>
                <w:sz w:val="24"/>
                <w:szCs w:val="24"/>
              </w:rPr>
              <w:t>s</w:t>
            </w:r>
            <w:r w:rsidRPr="00F91E49">
              <w:rPr>
                <w:rFonts w:ascii="Arial" w:hAnsi="Arial" w:cs="Arial"/>
                <w:sz w:val="24"/>
                <w:szCs w:val="24"/>
              </w:rPr>
              <w:t xml:space="preserve"> energy in an efficient and sustainable manner</w:t>
            </w:r>
            <w:r w:rsidR="00C4573D">
              <w:rPr>
                <w:rFonts w:ascii="Arial" w:hAnsi="Arial" w:cs="Arial"/>
                <w:sz w:val="24"/>
                <w:szCs w:val="24"/>
              </w:rPr>
              <w:t xml:space="preserve">.  Considers </w:t>
            </w:r>
            <w:r w:rsidR="00014535">
              <w:rPr>
                <w:rFonts w:ascii="Arial" w:hAnsi="Arial" w:cs="Arial"/>
                <w:sz w:val="24"/>
                <w:szCs w:val="24"/>
              </w:rPr>
              <w:t>models for buying energy include the use of green tariffs.</w:t>
            </w:r>
          </w:p>
        </w:tc>
      </w:tr>
      <w:tr w:rsidR="00F24B08" w:rsidRPr="00302B73" w14:paraId="4FC3DBE4" w14:textId="77777777" w:rsidTr="00AC6A05">
        <w:trPr>
          <w:trHeight w:val="665"/>
        </w:trPr>
        <w:tc>
          <w:tcPr>
            <w:tcW w:w="1701" w:type="dxa"/>
            <w:vAlign w:val="center"/>
          </w:tcPr>
          <w:p w14:paraId="57E93AB1" w14:textId="412AF0FB" w:rsidR="00F24B08" w:rsidRPr="009F5A9E" w:rsidRDefault="00F24B08" w:rsidP="00AC6A05">
            <w:pPr>
              <w:pStyle w:val="MainNumber"/>
              <w:rPr>
                <w:rFonts w:ascii="Arial" w:hAnsi="Arial" w:cs="Arial"/>
                <w:b/>
                <w:bCs/>
              </w:rPr>
            </w:pPr>
            <w:r>
              <w:rPr>
                <w:rFonts w:ascii="Arial" w:hAnsi="Arial" w:cs="Arial"/>
                <w:b/>
                <w:bCs/>
                <w:szCs w:val="20"/>
              </w:rPr>
              <w:t>Reducing Energy Consumption</w:t>
            </w:r>
          </w:p>
        </w:tc>
        <w:tc>
          <w:tcPr>
            <w:tcW w:w="6894" w:type="dxa"/>
            <w:vAlign w:val="center"/>
          </w:tcPr>
          <w:p w14:paraId="297D877F" w14:textId="101DD854" w:rsidR="00F24B08" w:rsidRPr="009F5A9E" w:rsidRDefault="00A12D18" w:rsidP="00AC6A05">
            <w:pPr>
              <w:pStyle w:val="MainNumber"/>
              <w:rPr>
                <w:rFonts w:ascii="Arial" w:hAnsi="Arial" w:cs="Arial"/>
              </w:rPr>
            </w:pPr>
            <w:r>
              <w:rPr>
                <w:rFonts w:ascii="Arial" w:hAnsi="Arial" w:cs="Arial"/>
                <w:sz w:val="24"/>
                <w:szCs w:val="24"/>
              </w:rPr>
              <w:t>Responsible for delivering i</w:t>
            </w:r>
            <w:r w:rsidR="00014535" w:rsidRPr="00F91E49">
              <w:rPr>
                <w:rFonts w:ascii="Arial" w:hAnsi="Arial" w:cs="Arial"/>
                <w:sz w:val="24"/>
                <w:szCs w:val="24"/>
              </w:rPr>
              <w:t>nvestment in programmes of work and activity to reduce our energy consumption</w:t>
            </w:r>
            <w:r>
              <w:rPr>
                <w:rFonts w:ascii="Arial" w:hAnsi="Arial" w:cs="Arial"/>
                <w:sz w:val="24"/>
                <w:szCs w:val="24"/>
              </w:rPr>
              <w:t xml:space="preserve">.  This is likely to include replacement in old </w:t>
            </w:r>
            <w:r w:rsidR="00B40B44">
              <w:rPr>
                <w:rFonts w:ascii="Arial" w:hAnsi="Arial" w:cs="Arial"/>
                <w:sz w:val="24"/>
                <w:szCs w:val="24"/>
              </w:rPr>
              <w:t>inefficient technology as well as investment in better insulation.</w:t>
            </w:r>
          </w:p>
        </w:tc>
      </w:tr>
      <w:tr w:rsidR="00F24B08" w:rsidRPr="00302B73" w14:paraId="103ABE41" w14:textId="77777777" w:rsidTr="00AC6A05">
        <w:trPr>
          <w:trHeight w:val="665"/>
        </w:trPr>
        <w:tc>
          <w:tcPr>
            <w:tcW w:w="1701" w:type="dxa"/>
            <w:vAlign w:val="center"/>
          </w:tcPr>
          <w:p w14:paraId="27D7A1FB" w14:textId="35B90D00" w:rsidR="00F24B08" w:rsidRPr="009F5A9E" w:rsidRDefault="00B94DFF" w:rsidP="00AC6A05">
            <w:pPr>
              <w:pStyle w:val="MainNumber"/>
              <w:rPr>
                <w:rFonts w:ascii="Arial" w:hAnsi="Arial" w:cs="Arial"/>
                <w:b/>
                <w:bCs/>
                <w:szCs w:val="20"/>
              </w:rPr>
            </w:pPr>
            <w:r>
              <w:rPr>
                <w:rFonts w:ascii="Arial" w:hAnsi="Arial" w:cs="Arial"/>
                <w:b/>
                <w:bCs/>
                <w:szCs w:val="20"/>
              </w:rPr>
              <w:t>Energy Generation</w:t>
            </w:r>
          </w:p>
        </w:tc>
        <w:tc>
          <w:tcPr>
            <w:tcW w:w="6894" w:type="dxa"/>
            <w:vAlign w:val="center"/>
          </w:tcPr>
          <w:p w14:paraId="166DE018" w14:textId="0DFC59E1" w:rsidR="00F24B08" w:rsidRPr="009F5A9E" w:rsidRDefault="00B40B44" w:rsidP="00AC6A05">
            <w:pPr>
              <w:pStyle w:val="MainNumber"/>
              <w:rPr>
                <w:rFonts w:ascii="Arial" w:hAnsi="Arial" w:cs="Arial"/>
                <w:szCs w:val="20"/>
                <w:highlight w:val="green"/>
              </w:rPr>
            </w:pPr>
            <w:r w:rsidRPr="00B40B44">
              <w:rPr>
                <w:rFonts w:ascii="Arial" w:hAnsi="Arial" w:cs="Arial"/>
                <w:sz w:val="24"/>
                <w:szCs w:val="24"/>
              </w:rPr>
              <w:t>Responsib</w:t>
            </w:r>
            <w:r>
              <w:rPr>
                <w:rFonts w:ascii="Arial" w:hAnsi="Arial" w:cs="Arial"/>
                <w:sz w:val="24"/>
                <w:szCs w:val="24"/>
              </w:rPr>
              <w:t>l</w:t>
            </w:r>
            <w:r w:rsidRPr="00B40B44">
              <w:rPr>
                <w:rFonts w:ascii="Arial" w:hAnsi="Arial" w:cs="Arial"/>
                <w:sz w:val="24"/>
                <w:szCs w:val="24"/>
              </w:rPr>
              <w:t>e for i</w:t>
            </w:r>
            <w:r w:rsidRPr="00F91E49">
              <w:rPr>
                <w:rFonts w:ascii="Arial" w:hAnsi="Arial" w:cs="Arial"/>
                <w:sz w:val="24"/>
                <w:szCs w:val="24"/>
              </w:rPr>
              <w:t>nvestment in programmes to generate our own renewable energy (Eg Solar Panels</w:t>
            </w:r>
            <w:r>
              <w:rPr>
                <w:rFonts w:ascii="Arial" w:hAnsi="Arial" w:cs="Arial"/>
                <w:sz w:val="24"/>
                <w:szCs w:val="24"/>
              </w:rPr>
              <w:t>)</w:t>
            </w:r>
          </w:p>
        </w:tc>
      </w:tr>
      <w:tr w:rsidR="00F24B08" w:rsidRPr="00302B73" w14:paraId="5DE72971" w14:textId="77777777" w:rsidTr="00AC6A05">
        <w:trPr>
          <w:trHeight w:val="665"/>
        </w:trPr>
        <w:tc>
          <w:tcPr>
            <w:tcW w:w="1701" w:type="dxa"/>
            <w:vAlign w:val="center"/>
          </w:tcPr>
          <w:p w14:paraId="38A18CAB" w14:textId="2D1515E7" w:rsidR="00F24B08" w:rsidRPr="009F5A9E" w:rsidRDefault="00B94DFF" w:rsidP="00AC6A05">
            <w:pPr>
              <w:pStyle w:val="MainNumber"/>
              <w:rPr>
                <w:rFonts w:ascii="Arial" w:hAnsi="Arial" w:cs="Arial"/>
                <w:b/>
                <w:bCs/>
              </w:rPr>
            </w:pPr>
            <w:r>
              <w:rPr>
                <w:rFonts w:ascii="Arial" w:hAnsi="Arial" w:cs="Arial"/>
                <w:b/>
                <w:bCs/>
                <w:szCs w:val="20"/>
              </w:rPr>
              <w:t>Embedding Behavioural Change</w:t>
            </w:r>
          </w:p>
        </w:tc>
        <w:tc>
          <w:tcPr>
            <w:tcW w:w="6894" w:type="dxa"/>
            <w:vAlign w:val="center"/>
          </w:tcPr>
          <w:p w14:paraId="289E59C9" w14:textId="7784B0E4" w:rsidR="00F24B08" w:rsidRPr="00B40B44" w:rsidRDefault="00B40B44" w:rsidP="00B40B44">
            <w:pPr>
              <w:rPr>
                <w:rFonts w:ascii="Arial" w:hAnsi="Arial" w:cs="Arial"/>
                <w:sz w:val="24"/>
                <w:szCs w:val="24"/>
              </w:rPr>
            </w:pPr>
            <w:r>
              <w:rPr>
                <w:rFonts w:ascii="Arial" w:hAnsi="Arial" w:cs="Arial"/>
                <w:sz w:val="24"/>
                <w:szCs w:val="24"/>
              </w:rPr>
              <w:t>Responsible for a</w:t>
            </w:r>
            <w:r w:rsidRPr="00F91E49">
              <w:rPr>
                <w:rFonts w:ascii="Arial" w:hAnsi="Arial" w:cs="Arial"/>
                <w:sz w:val="24"/>
                <w:szCs w:val="24"/>
              </w:rPr>
              <w:t xml:space="preserve">ffecting organisation change to ensure </w:t>
            </w:r>
            <w:r>
              <w:rPr>
                <w:rFonts w:ascii="Arial" w:hAnsi="Arial" w:cs="Arial"/>
                <w:sz w:val="24"/>
                <w:szCs w:val="24"/>
              </w:rPr>
              <w:t xml:space="preserve">a reduction in wasted use of energy, </w:t>
            </w:r>
            <w:r w:rsidRPr="00F91E49">
              <w:rPr>
                <w:rFonts w:ascii="Arial" w:hAnsi="Arial" w:cs="Arial"/>
                <w:sz w:val="24"/>
                <w:szCs w:val="24"/>
              </w:rPr>
              <w:t>energy efficiency and sustainability are key considerations of everything the Trust does</w:t>
            </w:r>
          </w:p>
        </w:tc>
      </w:tr>
    </w:tbl>
    <w:p w14:paraId="5A072C10" w14:textId="77777777" w:rsidR="00D03A70" w:rsidRPr="00A45A85" w:rsidRDefault="00D03A70" w:rsidP="00A45A85">
      <w:pPr>
        <w:ind w:left="357"/>
        <w:jc w:val="both"/>
        <w:rPr>
          <w:rFonts w:ascii="Arial" w:hAnsi="Arial" w:cs="Arial"/>
          <w:sz w:val="24"/>
        </w:rPr>
      </w:pPr>
    </w:p>
    <w:p w14:paraId="0B112E19" w14:textId="294540FF" w:rsidR="00404790" w:rsidRDefault="00020B62" w:rsidP="00D03A70">
      <w:pPr>
        <w:pStyle w:val="Heading2"/>
      </w:pPr>
      <w:bookmarkStart w:id="19" w:name="_Toc114170239"/>
      <w:r w:rsidRPr="00D03A70">
        <w:t>Internal Training Needs</w:t>
      </w:r>
      <w:bookmarkEnd w:id="19"/>
    </w:p>
    <w:p w14:paraId="1566CF58" w14:textId="77777777" w:rsidR="008C3275" w:rsidRDefault="00DE3DCA" w:rsidP="00B40B44">
      <w:pPr>
        <w:rPr>
          <w:rFonts w:ascii="Arial" w:hAnsi="Arial" w:cs="Arial"/>
          <w:sz w:val="24"/>
        </w:rPr>
      </w:pPr>
      <w:r w:rsidRPr="00CB3FB4">
        <w:rPr>
          <w:rFonts w:ascii="Arial" w:hAnsi="Arial" w:cs="Arial"/>
          <w:sz w:val="24"/>
        </w:rPr>
        <w:t>The Trust will ensure that staff are able to access appropriate training in key areas</w:t>
      </w:r>
      <w:r w:rsidR="00CB3FB4" w:rsidRPr="00CB3FB4">
        <w:rPr>
          <w:rFonts w:ascii="Arial" w:hAnsi="Arial" w:cs="Arial"/>
          <w:sz w:val="24"/>
        </w:rPr>
        <w:t xml:space="preserve"> including available technologies, procurement and finance</w:t>
      </w:r>
      <w:r w:rsidR="008C3275">
        <w:rPr>
          <w:rFonts w:ascii="Arial" w:hAnsi="Arial" w:cs="Arial"/>
          <w:sz w:val="24"/>
        </w:rPr>
        <w:t xml:space="preserve"> ensuring that resources offered by the Department for Education and the Confederation of School Trusts are used.</w:t>
      </w:r>
    </w:p>
    <w:p w14:paraId="565B04A2" w14:textId="36D1B69D" w:rsidR="00020B62" w:rsidRDefault="00020B62" w:rsidP="00D03A70">
      <w:pPr>
        <w:pStyle w:val="Heading2"/>
      </w:pPr>
      <w:bookmarkStart w:id="20" w:name="_Toc114170240"/>
      <w:r w:rsidRPr="00D03A70">
        <w:t>Technical Advisory Support</w:t>
      </w:r>
      <w:bookmarkEnd w:id="20"/>
    </w:p>
    <w:p w14:paraId="7665A1F2" w14:textId="06F09BBC" w:rsidR="008C3275" w:rsidRPr="00D9542D" w:rsidRDefault="008C3275" w:rsidP="008C3275">
      <w:pPr>
        <w:rPr>
          <w:rFonts w:ascii="Arial" w:hAnsi="Arial" w:cs="Arial"/>
          <w:sz w:val="24"/>
        </w:rPr>
      </w:pPr>
      <w:r w:rsidRPr="00D9542D">
        <w:rPr>
          <w:rFonts w:ascii="Arial" w:hAnsi="Arial" w:cs="Arial"/>
          <w:sz w:val="24"/>
        </w:rPr>
        <w:t xml:space="preserve">External technical </w:t>
      </w:r>
      <w:r w:rsidR="00180987" w:rsidRPr="00D9542D">
        <w:rPr>
          <w:rFonts w:ascii="Arial" w:hAnsi="Arial" w:cs="Arial"/>
          <w:sz w:val="24"/>
        </w:rPr>
        <w:t xml:space="preserve">and consultancy advice may be required to deliver the plan.  </w:t>
      </w:r>
      <w:r w:rsidR="00BA1994" w:rsidRPr="00D9542D">
        <w:rPr>
          <w:rFonts w:ascii="Arial" w:hAnsi="Arial" w:cs="Arial"/>
          <w:sz w:val="24"/>
        </w:rPr>
        <w:t xml:space="preserve">The Energy Strategy Group and workstream leads will ensure that </w:t>
      </w:r>
      <w:r w:rsidR="006376B5" w:rsidRPr="00D9542D">
        <w:rPr>
          <w:rFonts w:ascii="Arial" w:hAnsi="Arial" w:cs="Arial"/>
          <w:sz w:val="24"/>
        </w:rPr>
        <w:t>appropriate advice is taken where necessary.</w:t>
      </w:r>
    </w:p>
    <w:p w14:paraId="453F6A8C" w14:textId="2D88F906" w:rsidR="006376B5" w:rsidRPr="00D9542D" w:rsidRDefault="006376B5" w:rsidP="008C3275">
      <w:pPr>
        <w:rPr>
          <w:rFonts w:ascii="Arial" w:hAnsi="Arial" w:cs="Arial"/>
          <w:sz w:val="24"/>
        </w:rPr>
      </w:pPr>
      <w:r w:rsidRPr="00D9542D">
        <w:rPr>
          <w:rFonts w:ascii="Arial" w:hAnsi="Arial" w:cs="Arial"/>
          <w:sz w:val="24"/>
        </w:rPr>
        <w:t>Current advisors to the Trust include:</w:t>
      </w:r>
    </w:p>
    <w:p w14:paraId="1F7CE30B" w14:textId="400D3010" w:rsidR="006376B5" w:rsidRPr="00D9542D" w:rsidRDefault="006376B5" w:rsidP="009E64F5">
      <w:pPr>
        <w:spacing w:after="0"/>
        <w:rPr>
          <w:rFonts w:ascii="Arial" w:hAnsi="Arial" w:cs="Arial"/>
          <w:sz w:val="24"/>
        </w:rPr>
      </w:pPr>
      <w:r w:rsidRPr="00D9542D">
        <w:rPr>
          <w:rFonts w:ascii="Arial" w:hAnsi="Arial" w:cs="Arial"/>
          <w:sz w:val="24"/>
        </w:rPr>
        <w:t>Energy Procurement/Broker – Zenergi</w:t>
      </w:r>
    </w:p>
    <w:p w14:paraId="726ACDD4" w14:textId="5FC12512" w:rsidR="006376B5" w:rsidRPr="00D9542D" w:rsidRDefault="00B14CDC" w:rsidP="009E64F5">
      <w:pPr>
        <w:spacing w:after="0"/>
        <w:rPr>
          <w:rFonts w:ascii="Arial" w:hAnsi="Arial" w:cs="Arial"/>
          <w:sz w:val="24"/>
        </w:rPr>
      </w:pPr>
      <w:r w:rsidRPr="00D9542D">
        <w:rPr>
          <w:rFonts w:ascii="Arial" w:hAnsi="Arial" w:cs="Arial"/>
          <w:sz w:val="24"/>
        </w:rPr>
        <w:t>Legal advisors – Stone King</w:t>
      </w:r>
    </w:p>
    <w:p w14:paraId="217D3888" w14:textId="30AD02EE" w:rsidR="00B14CDC" w:rsidRPr="00D9542D" w:rsidRDefault="00B14CDC" w:rsidP="009E64F5">
      <w:pPr>
        <w:spacing w:after="0"/>
        <w:rPr>
          <w:rFonts w:ascii="Arial" w:hAnsi="Arial" w:cs="Arial"/>
          <w:sz w:val="24"/>
        </w:rPr>
      </w:pPr>
      <w:r w:rsidRPr="00D9542D">
        <w:rPr>
          <w:rFonts w:ascii="Arial" w:hAnsi="Arial" w:cs="Arial"/>
          <w:sz w:val="24"/>
        </w:rPr>
        <w:t>Accountancy Advisors – Price Bailey/Constable VAT</w:t>
      </w:r>
    </w:p>
    <w:p w14:paraId="1D1FDE7D" w14:textId="0C48858A" w:rsidR="00B14CDC" w:rsidRPr="00D9542D" w:rsidRDefault="00D9542D" w:rsidP="009E64F5">
      <w:pPr>
        <w:spacing w:after="0"/>
        <w:rPr>
          <w:rFonts w:ascii="Arial" w:hAnsi="Arial" w:cs="Arial"/>
          <w:sz w:val="24"/>
        </w:rPr>
      </w:pPr>
      <w:r w:rsidRPr="00D9542D">
        <w:rPr>
          <w:rFonts w:ascii="Arial" w:hAnsi="Arial" w:cs="Arial"/>
          <w:sz w:val="24"/>
        </w:rPr>
        <w:t>Property Management Advisors – PCH Associates</w:t>
      </w:r>
    </w:p>
    <w:p w14:paraId="558F538C" w14:textId="77777777" w:rsidR="00D9542D" w:rsidRPr="008C3275" w:rsidRDefault="00D9542D" w:rsidP="008C3275"/>
    <w:p w14:paraId="0626C37D" w14:textId="3199289B" w:rsidR="00020B62" w:rsidRDefault="00020B62" w:rsidP="00D03A70">
      <w:pPr>
        <w:pStyle w:val="Heading1"/>
      </w:pPr>
      <w:bookmarkStart w:id="21" w:name="_Toc114170241"/>
      <w:r>
        <w:lastRenderedPageBreak/>
        <w:t>Funding</w:t>
      </w:r>
      <w:bookmarkEnd w:id="21"/>
    </w:p>
    <w:p w14:paraId="2E9AA7B8" w14:textId="11FBE802" w:rsidR="00020B62" w:rsidRDefault="00FC6C75" w:rsidP="009E64F5">
      <w:pPr>
        <w:jc w:val="both"/>
        <w:rPr>
          <w:rFonts w:ascii="Arial" w:hAnsi="Arial" w:cs="Arial"/>
          <w:sz w:val="24"/>
        </w:rPr>
      </w:pPr>
      <w:r w:rsidRPr="00FC6C75">
        <w:rPr>
          <w:rFonts w:ascii="Arial" w:hAnsi="Arial" w:cs="Arial"/>
          <w:sz w:val="24"/>
        </w:rPr>
        <w:t>The benefits of reducing carbon emissions, lowering energy bills and engaging with students and the wider community are clear however funding is often a barrier to implementation. This section sets out the funding options available to enable the delivery of the plan.</w:t>
      </w:r>
    </w:p>
    <w:p w14:paraId="1BA044BD" w14:textId="2CCFE542" w:rsidR="009F5A9E" w:rsidRDefault="00AD4703" w:rsidP="00AD4703">
      <w:pPr>
        <w:pStyle w:val="Heading2"/>
      </w:pPr>
      <w:bookmarkStart w:id="22" w:name="_Toc114170242"/>
      <w:r>
        <w:t>The long term strategy</w:t>
      </w:r>
      <w:bookmarkEnd w:id="22"/>
    </w:p>
    <w:p w14:paraId="414F100A" w14:textId="77777777" w:rsidR="00292367" w:rsidRPr="00472880" w:rsidRDefault="00292367" w:rsidP="009E64F5">
      <w:pPr>
        <w:jc w:val="both"/>
        <w:rPr>
          <w:rFonts w:ascii="Arial" w:hAnsi="Arial" w:cs="Arial"/>
          <w:sz w:val="24"/>
        </w:rPr>
      </w:pPr>
      <w:r w:rsidRPr="00472880">
        <w:rPr>
          <w:rFonts w:ascii="Arial" w:hAnsi="Arial" w:cs="Arial"/>
          <w:sz w:val="24"/>
        </w:rPr>
        <w:t>The reduction of the Trust carbon footprint is directly linked to the consumption of energy from the grid or renewable sources. This in turn has a day-to-day financial implication for the Trust in that it has to pay for energy consumed from its general annual grant.</w:t>
      </w:r>
    </w:p>
    <w:p w14:paraId="11272248" w14:textId="61CEFF48" w:rsidR="00292367" w:rsidRPr="00472880" w:rsidRDefault="007B27F3" w:rsidP="009E64F5">
      <w:pPr>
        <w:jc w:val="both"/>
        <w:rPr>
          <w:rFonts w:ascii="Arial" w:hAnsi="Arial" w:cs="Arial"/>
          <w:sz w:val="24"/>
        </w:rPr>
      </w:pPr>
      <w:r w:rsidRPr="00472880">
        <w:rPr>
          <w:rFonts w:ascii="Arial" w:hAnsi="Arial" w:cs="Arial"/>
          <w:sz w:val="24"/>
        </w:rPr>
        <w:t xml:space="preserve">Assuming the final estimated total carbon footprint (including all fuel sources and vehicles) for 2021/22 is similar to </w:t>
      </w:r>
      <w:r w:rsidR="003400DE" w:rsidRPr="00472880">
        <w:rPr>
          <w:rFonts w:ascii="Arial" w:hAnsi="Arial" w:cs="Arial"/>
          <w:sz w:val="24"/>
        </w:rPr>
        <w:t>2020/21</w:t>
      </w:r>
      <w:r w:rsidR="001C4610" w:rsidRPr="00472880">
        <w:rPr>
          <w:rFonts w:ascii="Arial" w:hAnsi="Arial" w:cs="Arial"/>
          <w:sz w:val="24"/>
        </w:rPr>
        <w:t xml:space="preserve"> and 2,700 metric tonnes</w:t>
      </w:r>
      <w:r w:rsidR="003400DE" w:rsidRPr="00472880">
        <w:rPr>
          <w:rFonts w:ascii="Arial" w:hAnsi="Arial" w:cs="Arial"/>
          <w:sz w:val="24"/>
        </w:rPr>
        <w:t xml:space="preserve">, a reduction of 30% over the medium term </w:t>
      </w:r>
      <w:r w:rsidR="00292367" w:rsidRPr="00472880">
        <w:rPr>
          <w:rFonts w:ascii="Arial" w:hAnsi="Arial" w:cs="Arial"/>
          <w:sz w:val="24"/>
        </w:rPr>
        <w:t xml:space="preserve">could save </w:t>
      </w:r>
      <w:r w:rsidR="00B26E59" w:rsidRPr="00472880">
        <w:rPr>
          <w:rFonts w:ascii="Arial" w:hAnsi="Arial" w:cs="Arial"/>
          <w:sz w:val="24"/>
        </w:rPr>
        <w:t>81</w:t>
      </w:r>
      <w:r w:rsidR="00292367" w:rsidRPr="00472880">
        <w:rPr>
          <w:rFonts w:ascii="Arial" w:hAnsi="Arial" w:cs="Arial"/>
          <w:sz w:val="24"/>
        </w:rPr>
        <w:t xml:space="preserve"> tonnes of carbon and also bring a financial benefit for the Trust.</w:t>
      </w:r>
      <w:r w:rsidR="00472880" w:rsidRPr="00472880">
        <w:rPr>
          <w:rFonts w:ascii="Arial" w:hAnsi="Arial" w:cs="Arial"/>
          <w:sz w:val="24"/>
        </w:rPr>
        <w:t xml:space="preserve"> </w:t>
      </w:r>
      <w:r w:rsidR="00472880">
        <w:rPr>
          <w:rFonts w:ascii="Arial" w:hAnsi="Arial" w:cs="Arial"/>
          <w:sz w:val="24"/>
        </w:rPr>
        <w:t xml:space="preserve"> As noted above detailed targets will be developed by the end of this academic year.</w:t>
      </w:r>
    </w:p>
    <w:p w14:paraId="6B76106B" w14:textId="1F611A5D" w:rsidR="00C559F0" w:rsidRPr="00653AB4" w:rsidRDefault="00292367" w:rsidP="00653AB4">
      <w:pPr>
        <w:pStyle w:val="Heading2"/>
      </w:pPr>
      <w:bookmarkStart w:id="23" w:name="_Toc114170243"/>
      <w:r w:rsidRPr="00653AB4">
        <w:t>Funding assessment</w:t>
      </w:r>
      <w:bookmarkEnd w:id="23"/>
    </w:p>
    <w:p w14:paraId="61498870" w14:textId="3DFCFC2B" w:rsidR="00F64C94" w:rsidRPr="00F64C94" w:rsidRDefault="00F64C94" w:rsidP="009E64F5">
      <w:pPr>
        <w:jc w:val="both"/>
        <w:rPr>
          <w:rFonts w:ascii="Arial" w:hAnsi="Arial" w:cs="Arial"/>
          <w:sz w:val="24"/>
        </w:rPr>
      </w:pPr>
      <w:r w:rsidRPr="00F64C94">
        <w:rPr>
          <w:rFonts w:ascii="Arial" w:hAnsi="Arial" w:cs="Arial"/>
          <w:sz w:val="24"/>
        </w:rPr>
        <w:t xml:space="preserve">Following the identification of project opportunities and agreement of the energy transformation plan, an assessment will/has been made against each of the possible funding options. This includes advantages and disadvantages and any technical or regulatory limitations to enable the leadership team to make an informed decision on the most suitable option for each technology or project type. </w:t>
      </w:r>
    </w:p>
    <w:p w14:paraId="2C6FEC2D" w14:textId="77777777" w:rsidR="00AA4AAB" w:rsidRDefault="00F64C94" w:rsidP="009E64F5">
      <w:pPr>
        <w:jc w:val="both"/>
        <w:rPr>
          <w:rFonts w:ascii="Arial" w:hAnsi="Arial" w:cs="Arial"/>
          <w:sz w:val="24"/>
        </w:rPr>
      </w:pPr>
      <w:r w:rsidRPr="00F64C94">
        <w:rPr>
          <w:rFonts w:ascii="Arial" w:hAnsi="Arial" w:cs="Arial"/>
          <w:sz w:val="24"/>
        </w:rPr>
        <w:t>This is set out below and forms the basis of the funding options for each of the available actions/projects set out in the decarbonisation plan</w:t>
      </w:r>
      <w:r w:rsidR="00CE7F17">
        <w:rPr>
          <w:rFonts w:ascii="Arial" w:hAnsi="Arial" w:cs="Arial"/>
          <w:sz w:val="24"/>
        </w:rPr>
        <w:t>.</w:t>
      </w:r>
    </w:p>
    <w:p w14:paraId="1CBA98E6" w14:textId="2050B768" w:rsidR="00653AB4" w:rsidRDefault="00AA4AAB" w:rsidP="009E64F5">
      <w:pPr>
        <w:jc w:val="both"/>
        <w:rPr>
          <w:rFonts w:ascii="Arial" w:hAnsi="Arial" w:cs="Arial"/>
          <w:sz w:val="24"/>
        </w:rPr>
      </w:pPr>
      <w:r>
        <w:rPr>
          <w:rFonts w:ascii="Arial" w:hAnsi="Arial" w:cs="Arial"/>
          <w:sz w:val="24"/>
        </w:rPr>
        <w:t xml:space="preserve">The aim of the decarbonisation plan should be to reinvest savings for further delivery where possible, however </w:t>
      </w:r>
      <w:r w:rsidR="00132DE1">
        <w:rPr>
          <w:rFonts w:ascii="Arial" w:hAnsi="Arial" w:cs="Arial"/>
          <w:sz w:val="24"/>
        </w:rPr>
        <w:t>it is recognised that pressures on available funding may reduce the opportunities to do this.</w:t>
      </w:r>
      <w:r w:rsidR="00CE7F17" w:rsidRPr="00CE7F17">
        <w:rPr>
          <w:rFonts w:ascii="Arial" w:hAnsi="Arial" w:cs="Arial"/>
          <w:sz w:val="24"/>
        </w:rPr>
        <w:t xml:space="preserve"> </w:t>
      </w:r>
    </w:p>
    <w:p w14:paraId="373759F4" w14:textId="2ED86E5F" w:rsidR="00653AB4" w:rsidRDefault="008A6E6D" w:rsidP="00F64C94">
      <w:pPr>
        <w:ind w:left="357"/>
        <w:jc w:val="both"/>
        <w:rPr>
          <w:rFonts w:ascii="Arial" w:hAnsi="Arial" w:cs="Arial"/>
          <w:sz w:val="24"/>
        </w:rPr>
      </w:pPr>
      <w:r w:rsidRPr="00F64C94">
        <w:rPr>
          <w:rFonts w:ascii="Arial" w:hAnsi="Arial" w:cs="Arial"/>
          <w:noProof/>
          <w:sz w:val="24"/>
        </w:rPr>
        <w:drawing>
          <wp:inline distT="0" distB="0" distL="0" distR="0" wp14:anchorId="400EF400" wp14:editId="18B37467">
            <wp:extent cx="1882800" cy="1746000"/>
            <wp:effectExtent l="0" t="0" r="3175" b="6985"/>
            <wp:docPr id="17" name="Picture 17"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2">
                      <a:extLst>
                        <a:ext uri="{28A0092B-C50C-407E-A947-70E740481C1C}">
                          <a14:useLocalDpi xmlns:a14="http://schemas.microsoft.com/office/drawing/2010/main" val="0"/>
                        </a:ext>
                      </a:extLst>
                    </a:blip>
                    <a:stretch>
                      <a:fillRect/>
                    </a:stretch>
                  </pic:blipFill>
                  <pic:spPr>
                    <a:xfrm>
                      <a:off x="0" y="0"/>
                      <a:ext cx="1882800" cy="1746000"/>
                    </a:xfrm>
                    <a:prstGeom prst="rect">
                      <a:avLst/>
                    </a:prstGeom>
                  </pic:spPr>
                </pic:pic>
              </a:graphicData>
            </a:graphic>
          </wp:inline>
        </w:drawing>
      </w:r>
    </w:p>
    <w:p w14:paraId="66B88372" w14:textId="4A0C93B8" w:rsidR="007A5918" w:rsidRDefault="007A5918" w:rsidP="00F64C94">
      <w:pPr>
        <w:ind w:left="357"/>
        <w:jc w:val="both"/>
        <w:rPr>
          <w:rFonts w:ascii="Arial" w:hAnsi="Arial" w:cs="Arial"/>
          <w:sz w:val="24"/>
        </w:rPr>
        <w:sectPr w:rsidR="007A5918" w:rsidSect="009A0518">
          <w:footerReference w:type="default" r:id="rId23"/>
          <w:footerReference w:type="first" r:id="rId24"/>
          <w:pgSz w:w="11906" w:h="16838"/>
          <w:pgMar w:top="1440" w:right="1440" w:bottom="1440" w:left="1440" w:header="709" w:footer="624" w:gutter="0"/>
          <w:pgNumType w:start="1"/>
          <w:cols w:space="708"/>
          <w:titlePg/>
          <w:docGrid w:linePitch="360"/>
        </w:sectPr>
      </w:pPr>
    </w:p>
    <w:p w14:paraId="704EDF79" w14:textId="2C19DDDE" w:rsidR="00653AB4" w:rsidRDefault="00653AB4" w:rsidP="00653AB4">
      <w:pPr>
        <w:pStyle w:val="Heading2"/>
      </w:pPr>
      <w:bookmarkStart w:id="24" w:name="_Toc114170244"/>
      <w:r w:rsidRPr="00653AB4">
        <w:lastRenderedPageBreak/>
        <w:t>Funding options</w:t>
      </w:r>
      <w:bookmarkEnd w:id="24"/>
    </w:p>
    <w:p w14:paraId="74B8BCCB" w14:textId="0169AC91" w:rsidR="00653AB4" w:rsidRPr="00F63CC7" w:rsidRDefault="00653AB4" w:rsidP="00653AB4">
      <w:pPr>
        <w:rPr>
          <w:rFonts w:ascii="Arial" w:hAnsi="Arial" w:cs="Arial"/>
          <w:sz w:val="24"/>
          <w:szCs w:val="24"/>
        </w:rPr>
      </w:pPr>
      <w:r w:rsidRPr="00F63CC7">
        <w:rPr>
          <w:rFonts w:ascii="Arial" w:hAnsi="Arial" w:cs="Arial"/>
          <w:sz w:val="24"/>
          <w:szCs w:val="24"/>
        </w:rPr>
        <w:t>Below is a summary of the main options ava</w:t>
      </w:r>
      <w:r w:rsidR="00BD4FA0" w:rsidRPr="00F63CC7">
        <w:rPr>
          <w:rFonts w:ascii="Arial" w:hAnsi="Arial" w:cs="Arial"/>
          <w:sz w:val="24"/>
          <w:szCs w:val="24"/>
        </w:rPr>
        <w:t xml:space="preserve">ilable for funding energy </w:t>
      </w:r>
      <w:r w:rsidR="00F63CC7">
        <w:rPr>
          <w:rFonts w:ascii="Arial" w:hAnsi="Arial" w:cs="Arial"/>
          <w:sz w:val="24"/>
          <w:szCs w:val="24"/>
        </w:rPr>
        <w:t>efficienc</w:t>
      </w:r>
      <w:r w:rsidR="007C0ABF">
        <w:rPr>
          <w:rFonts w:ascii="Arial" w:hAnsi="Arial" w:cs="Arial"/>
          <w:sz w:val="24"/>
          <w:szCs w:val="24"/>
        </w:rPr>
        <w:t>y</w:t>
      </w:r>
      <w:r w:rsidR="00BD4FA0" w:rsidRPr="00F63CC7">
        <w:rPr>
          <w:rFonts w:ascii="Arial" w:hAnsi="Arial" w:cs="Arial"/>
          <w:sz w:val="24"/>
          <w:szCs w:val="24"/>
        </w:rPr>
        <w:t xml:space="preserve"> projects.</w:t>
      </w:r>
    </w:p>
    <w:tbl>
      <w:tblPr>
        <w:tblStyle w:val="TableGrid"/>
        <w:tblW w:w="14312"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77"/>
        <w:gridCol w:w="3158"/>
        <w:gridCol w:w="3159"/>
        <w:gridCol w:w="3159"/>
        <w:gridCol w:w="3159"/>
      </w:tblGrid>
      <w:tr w:rsidR="00171B89" w:rsidRPr="00BE5895" w14:paraId="700AC175" w14:textId="77777777" w:rsidTr="009E3CD5">
        <w:tc>
          <w:tcPr>
            <w:tcW w:w="1677" w:type="dxa"/>
            <w:shd w:val="clear" w:color="auto" w:fill="002060"/>
          </w:tcPr>
          <w:p w14:paraId="33A54596" w14:textId="77777777" w:rsidR="00171B89" w:rsidRPr="00BE5895" w:rsidRDefault="00171B89" w:rsidP="00AC6A05">
            <w:pPr>
              <w:pStyle w:val="MainNumber"/>
              <w:ind w:right="518"/>
              <w:rPr>
                <w:rFonts w:ascii="Arial" w:hAnsi="Arial" w:cs="Arial"/>
                <w:b/>
                <w:color w:val="FFFFFF" w:themeColor="background1"/>
                <w:sz w:val="18"/>
                <w:szCs w:val="18"/>
              </w:rPr>
            </w:pPr>
            <w:bookmarkStart w:id="25" w:name="_Hlk71729208"/>
            <w:r w:rsidRPr="00BE5895">
              <w:rPr>
                <w:rFonts w:ascii="Arial" w:hAnsi="Arial" w:cs="Arial"/>
                <w:b/>
                <w:color w:val="FFFFFF" w:themeColor="background1"/>
                <w:sz w:val="18"/>
                <w:szCs w:val="18"/>
              </w:rPr>
              <w:t>Funding Option</w:t>
            </w:r>
          </w:p>
        </w:tc>
        <w:tc>
          <w:tcPr>
            <w:tcW w:w="3158" w:type="dxa"/>
            <w:shd w:val="clear" w:color="auto" w:fill="002060"/>
          </w:tcPr>
          <w:p w14:paraId="666B5764" w14:textId="77777777" w:rsidR="00171B89" w:rsidRPr="00BE5895" w:rsidRDefault="00171B89" w:rsidP="00AC6A05">
            <w:pPr>
              <w:pStyle w:val="MainNumber"/>
              <w:ind w:right="518"/>
              <w:rPr>
                <w:rFonts w:ascii="Arial" w:hAnsi="Arial" w:cs="Arial"/>
                <w:b/>
                <w:color w:val="FFFFFF" w:themeColor="background1"/>
                <w:sz w:val="18"/>
                <w:szCs w:val="18"/>
              </w:rPr>
            </w:pPr>
            <w:r w:rsidRPr="00BE5895">
              <w:rPr>
                <w:rFonts w:ascii="Arial" w:hAnsi="Arial" w:cs="Arial"/>
                <w:b/>
                <w:color w:val="FFFFFF" w:themeColor="background1"/>
                <w:sz w:val="18"/>
                <w:szCs w:val="18"/>
              </w:rPr>
              <w:t>Cash/Reserves</w:t>
            </w:r>
          </w:p>
        </w:tc>
        <w:tc>
          <w:tcPr>
            <w:tcW w:w="3159" w:type="dxa"/>
            <w:shd w:val="clear" w:color="auto" w:fill="002060"/>
          </w:tcPr>
          <w:p w14:paraId="3F04979B" w14:textId="77777777" w:rsidR="00171B89" w:rsidRPr="00BE5895" w:rsidRDefault="00171B89" w:rsidP="00AC6A05">
            <w:pPr>
              <w:pStyle w:val="MainNumber"/>
              <w:rPr>
                <w:rFonts w:ascii="Arial" w:hAnsi="Arial" w:cs="Arial"/>
                <w:b/>
                <w:color w:val="FFFFFF" w:themeColor="background1"/>
                <w:sz w:val="18"/>
                <w:szCs w:val="18"/>
              </w:rPr>
            </w:pPr>
            <w:r w:rsidRPr="00BE5895">
              <w:rPr>
                <w:rFonts w:ascii="Arial" w:hAnsi="Arial" w:cs="Arial"/>
                <w:b/>
                <w:color w:val="FFFFFF" w:themeColor="background1"/>
                <w:sz w:val="18"/>
                <w:szCs w:val="18"/>
              </w:rPr>
              <w:t>Salix Finance</w:t>
            </w:r>
          </w:p>
        </w:tc>
        <w:tc>
          <w:tcPr>
            <w:tcW w:w="3159" w:type="dxa"/>
            <w:shd w:val="clear" w:color="auto" w:fill="002060"/>
          </w:tcPr>
          <w:p w14:paraId="2E38EDF3" w14:textId="77777777" w:rsidR="00171B89" w:rsidRPr="00BE5895" w:rsidRDefault="00171B89" w:rsidP="00AC6A05">
            <w:pPr>
              <w:pStyle w:val="MainNumber"/>
              <w:rPr>
                <w:rFonts w:ascii="Arial" w:hAnsi="Arial" w:cs="Arial"/>
                <w:b/>
                <w:color w:val="FFFFFF" w:themeColor="background1"/>
                <w:sz w:val="18"/>
                <w:szCs w:val="18"/>
              </w:rPr>
            </w:pPr>
            <w:r w:rsidRPr="00BE5895">
              <w:rPr>
                <w:rFonts w:ascii="Arial" w:hAnsi="Arial" w:cs="Arial"/>
                <w:b/>
                <w:color w:val="FFFFFF" w:themeColor="background1"/>
                <w:sz w:val="18"/>
                <w:szCs w:val="18"/>
              </w:rPr>
              <w:t>Power Purchase Agreement</w:t>
            </w:r>
          </w:p>
        </w:tc>
        <w:tc>
          <w:tcPr>
            <w:tcW w:w="3159" w:type="dxa"/>
            <w:shd w:val="clear" w:color="auto" w:fill="002060"/>
          </w:tcPr>
          <w:p w14:paraId="590D588B" w14:textId="77777777" w:rsidR="00171B89" w:rsidRPr="00BE5895" w:rsidRDefault="00171B89" w:rsidP="00AC6A05">
            <w:pPr>
              <w:pStyle w:val="MainNumber"/>
              <w:rPr>
                <w:rFonts w:ascii="Arial" w:hAnsi="Arial" w:cs="Arial"/>
                <w:b/>
                <w:color w:val="FFFFFF" w:themeColor="background1"/>
                <w:sz w:val="18"/>
                <w:szCs w:val="18"/>
              </w:rPr>
            </w:pPr>
            <w:r w:rsidRPr="00BE5895">
              <w:rPr>
                <w:rFonts w:ascii="Arial" w:hAnsi="Arial" w:cs="Arial"/>
                <w:b/>
                <w:color w:val="FFFFFF" w:themeColor="background1"/>
                <w:sz w:val="18"/>
                <w:szCs w:val="18"/>
              </w:rPr>
              <w:t>Operating Lease</w:t>
            </w:r>
          </w:p>
        </w:tc>
      </w:tr>
      <w:tr w:rsidR="00171B89" w:rsidRPr="00BE5895" w14:paraId="4208DE8F" w14:textId="77777777" w:rsidTr="009E3CD5">
        <w:tc>
          <w:tcPr>
            <w:tcW w:w="1677" w:type="dxa"/>
            <w:shd w:val="clear" w:color="auto" w:fill="808080" w:themeFill="background1" w:themeFillShade="80"/>
          </w:tcPr>
          <w:p w14:paraId="67AC9419" w14:textId="77777777" w:rsidR="00171B89" w:rsidRPr="00BE5895" w:rsidRDefault="00171B89" w:rsidP="00AC6A05">
            <w:pPr>
              <w:pStyle w:val="MainNumber"/>
              <w:rPr>
                <w:rFonts w:ascii="Arial" w:hAnsi="Arial" w:cs="Arial"/>
                <w:b/>
                <w:bCs/>
                <w:color w:val="FFFFFF" w:themeColor="background1"/>
                <w:sz w:val="18"/>
                <w:szCs w:val="18"/>
              </w:rPr>
            </w:pPr>
            <w:r w:rsidRPr="00BE5895">
              <w:rPr>
                <w:rFonts w:ascii="Arial" w:hAnsi="Arial" w:cs="Arial"/>
                <w:b/>
                <w:bCs/>
                <w:color w:val="FFFFFF" w:themeColor="background1"/>
                <w:sz w:val="18"/>
                <w:szCs w:val="18"/>
              </w:rPr>
              <w:t>The Concept</w:t>
            </w:r>
          </w:p>
        </w:tc>
        <w:tc>
          <w:tcPr>
            <w:tcW w:w="3158" w:type="dxa"/>
            <w:shd w:val="clear" w:color="auto" w:fill="F2F2F2" w:themeFill="background1" w:themeFillShade="F2"/>
          </w:tcPr>
          <w:p w14:paraId="62BA60D1" w14:textId="408E03F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 xml:space="preserve">By using cash, the organisation realises 100% of the savings generated by the energy efficiency project. With </w:t>
            </w:r>
            <w:r w:rsidR="007C0ABF" w:rsidRPr="00BE5895">
              <w:rPr>
                <w:rFonts w:ascii="Arial" w:hAnsi="Arial" w:cs="Arial"/>
                <w:color w:val="002060"/>
                <w:sz w:val="18"/>
                <w:szCs w:val="18"/>
              </w:rPr>
              <w:t xml:space="preserve">significant </w:t>
            </w:r>
            <w:r w:rsidRPr="00BE5895">
              <w:rPr>
                <w:rFonts w:ascii="Arial" w:hAnsi="Arial" w:cs="Arial"/>
                <w:color w:val="002060"/>
                <w:sz w:val="18"/>
                <w:szCs w:val="18"/>
              </w:rPr>
              <w:t xml:space="preserve">returns on investment this can provide </w:t>
            </w:r>
            <w:r w:rsidR="00E50523" w:rsidRPr="00BE5895">
              <w:rPr>
                <w:rFonts w:ascii="Arial" w:hAnsi="Arial" w:cs="Arial"/>
                <w:color w:val="002060"/>
                <w:sz w:val="18"/>
                <w:szCs w:val="18"/>
              </w:rPr>
              <w:t>savings</w:t>
            </w:r>
            <w:r w:rsidRPr="00BE5895">
              <w:rPr>
                <w:rFonts w:ascii="Arial" w:hAnsi="Arial" w:cs="Arial"/>
                <w:color w:val="002060"/>
                <w:sz w:val="18"/>
                <w:szCs w:val="18"/>
              </w:rPr>
              <w:t xml:space="preserve"> can be reinvested in the estate</w:t>
            </w:r>
            <w:r w:rsidR="00E50523" w:rsidRPr="00BE5895">
              <w:rPr>
                <w:rFonts w:ascii="Arial" w:hAnsi="Arial" w:cs="Arial"/>
                <w:color w:val="002060"/>
                <w:sz w:val="18"/>
                <w:szCs w:val="18"/>
              </w:rPr>
              <w:t xml:space="preserve"> or used elsewhere in the organisation</w:t>
            </w:r>
          </w:p>
        </w:tc>
        <w:tc>
          <w:tcPr>
            <w:tcW w:w="3159" w:type="dxa"/>
            <w:shd w:val="clear" w:color="auto" w:fill="F2F2F2" w:themeFill="background1" w:themeFillShade="F2"/>
          </w:tcPr>
          <w:p w14:paraId="232114AF" w14:textId="7777777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Government funding (grants and loans) to the public sector can be a good way to improve energy efficiency, reduce carbon emissions and lower energy bills. Salix is a non-departmental public body, owned wholly by Government.</w:t>
            </w:r>
          </w:p>
        </w:tc>
        <w:tc>
          <w:tcPr>
            <w:tcW w:w="3159" w:type="dxa"/>
            <w:shd w:val="clear" w:color="auto" w:fill="F2F2F2" w:themeFill="background1" w:themeFillShade="F2"/>
          </w:tcPr>
          <w:p w14:paraId="4723407C" w14:textId="7777777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A power purchase agreement, is a contract between two parties, one which generates electricity and one which is looking to purchase electricity.</w:t>
            </w:r>
          </w:p>
        </w:tc>
        <w:tc>
          <w:tcPr>
            <w:tcW w:w="3159" w:type="dxa"/>
            <w:shd w:val="clear" w:color="auto" w:fill="F2F2F2" w:themeFill="background1" w:themeFillShade="F2"/>
          </w:tcPr>
          <w:p w14:paraId="2E6DB6C1" w14:textId="7777777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An operating lease is a way of financing the acquisition of assets where the risk and reward of ownership remain substantially with the lessor. The lessor often includes other services such as maintenance of the asset.</w:t>
            </w:r>
          </w:p>
        </w:tc>
      </w:tr>
      <w:tr w:rsidR="00171B89" w:rsidRPr="00BE5895" w14:paraId="37B73903" w14:textId="77777777" w:rsidTr="009E3CD5">
        <w:tc>
          <w:tcPr>
            <w:tcW w:w="1677" w:type="dxa"/>
            <w:shd w:val="clear" w:color="auto" w:fill="808080" w:themeFill="background1" w:themeFillShade="80"/>
          </w:tcPr>
          <w:p w14:paraId="694EE29F" w14:textId="77777777" w:rsidR="00171B89" w:rsidRPr="00BE5895" w:rsidRDefault="00171B89" w:rsidP="00AC6A05">
            <w:pPr>
              <w:pStyle w:val="MainNumber"/>
              <w:rPr>
                <w:rFonts w:ascii="Arial" w:hAnsi="Arial" w:cs="Arial"/>
                <w:b/>
                <w:bCs/>
                <w:color w:val="FFFFFF" w:themeColor="background1"/>
                <w:sz w:val="18"/>
                <w:szCs w:val="18"/>
              </w:rPr>
            </w:pPr>
            <w:r w:rsidRPr="00BE5895">
              <w:rPr>
                <w:rFonts w:ascii="Arial" w:hAnsi="Arial" w:cs="Arial"/>
                <w:b/>
                <w:bCs/>
                <w:color w:val="FFFFFF" w:themeColor="background1"/>
                <w:sz w:val="18"/>
                <w:szCs w:val="18"/>
              </w:rPr>
              <w:t>Advantages</w:t>
            </w:r>
          </w:p>
        </w:tc>
        <w:tc>
          <w:tcPr>
            <w:tcW w:w="3158" w:type="dxa"/>
            <w:shd w:val="clear" w:color="auto" w:fill="D9D9D9" w:themeFill="background1" w:themeFillShade="D9"/>
          </w:tcPr>
          <w:p w14:paraId="1258E354" w14:textId="7777777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No finance costs means the organisation realises 100% of savings generated.</w:t>
            </w:r>
          </w:p>
          <w:p w14:paraId="7715C0C3" w14:textId="7777777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Savings can be reinvested.</w:t>
            </w:r>
          </w:p>
          <w:p w14:paraId="18910256" w14:textId="7777777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Organisation can manage its own procurement and implementation programme.</w:t>
            </w:r>
          </w:p>
          <w:p w14:paraId="0E135CB6" w14:textId="7777777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Can work well for smaller sites where it is harder to get finance options to work.</w:t>
            </w:r>
          </w:p>
        </w:tc>
        <w:tc>
          <w:tcPr>
            <w:tcW w:w="3159" w:type="dxa"/>
            <w:shd w:val="clear" w:color="auto" w:fill="D9D9D9" w:themeFill="background1" w:themeFillShade="D9"/>
          </w:tcPr>
          <w:p w14:paraId="17D85FD4" w14:textId="7777777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Interest-free loans mean the organisation realises 100% of savings generated.</w:t>
            </w:r>
          </w:p>
          <w:p w14:paraId="62E0F3D9" w14:textId="4D4615BC"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 xml:space="preserve">Grant funding </w:t>
            </w:r>
            <w:r w:rsidR="008F65C1" w:rsidRPr="00BE5895">
              <w:rPr>
                <w:rFonts w:ascii="Arial" w:hAnsi="Arial" w:cs="Arial"/>
                <w:color w:val="002060"/>
                <w:sz w:val="18"/>
                <w:szCs w:val="18"/>
              </w:rPr>
              <w:t xml:space="preserve">opportunities </w:t>
            </w:r>
            <w:r w:rsidR="00116C3B" w:rsidRPr="00BE5895">
              <w:rPr>
                <w:rFonts w:ascii="Arial" w:hAnsi="Arial" w:cs="Arial"/>
                <w:color w:val="002060"/>
                <w:sz w:val="18"/>
                <w:szCs w:val="18"/>
              </w:rPr>
              <w:t>have been made available</w:t>
            </w:r>
            <w:r w:rsidRPr="00BE5895">
              <w:rPr>
                <w:rFonts w:ascii="Arial" w:hAnsi="Arial" w:cs="Arial"/>
                <w:color w:val="002060"/>
                <w:sz w:val="18"/>
                <w:szCs w:val="18"/>
              </w:rPr>
              <w:t xml:space="preserve"> (i.e. PSDS) which provides excellent returns for organisations.</w:t>
            </w:r>
          </w:p>
        </w:tc>
        <w:tc>
          <w:tcPr>
            <w:tcW w:w="3159" w:type="dxa"/>
            <w:shd w:val="clear" w:color="auto" w:fill="D9D9D9" w:themeFill="background1" w:themeFillShade="D9"/>
          </w:tcPr>
          <w:p w14:paraId="6AF7AFA2" w14:textId="7777777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A recognised and compliant route.</w:t>
            </w:r>
          </w:p>
          <w:p w14:paraId="3B19D7F5" w14:textId="7777777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Guarantees energy price for fixed period.</w:t>
            </w:r>
          </w:p>
          <w:p w14:paraId="697EA074" w14:textId="7777777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Low risk solution provided it is set up correctly.</w:t>
            </w:r>
          </w:p>
        </w:tc>
        <w:tc>
          <w:tcPr>
            <w:tcW w:w="3159" w:type="dxa"/>
            <w:shd w:val="clear" w:color="auto" w:fill="D9D9D9" w:themeFill="background1" w:themeFillShade="D9"/>
          </w:tcPr>
          <w:p w14:paraId="39DE62CC" w14:textId="7777777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Wide availability of finance enables organisations to start immediately.</w:t>
            </w:r>
          </w:p>
          <w:p w14:paraId="23811217" w14:textId="7777777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100% funding means little/no capital investment required.</w:t>
            </w:r>
          </w:p>
          <w:p w14:paraId="299FB800" w14:textId="7777777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Savings can be reinvested.</w:t>
            </w:r>
          </w:p>
          <w:p w14:paraId="6F62A1F4" w14:textId="7777777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Organisation can manage its own procurement and implementation programme.</w:t>
            </w:r>
          </w:p>
          <w:p w14:paraId="35EBF232" w14:textId="77777777" w:rsidR="00171B89" w:rsidRPr="00BE5895" w:rsidRDefault="00171B89" w:rsidP="00AC6A05">
            <w:pPr>
              <w:pStyle w:val="MainNumber"/>
              <w:jc w:val="left"/>
              <w:rPr>
                <w:rFonts w:ascii="Arial" w:hAnsi="Arial" w:cs="Arial"/>
                <w:color w:val="002060"/>
                <w:sz w:val="18"/>
                <w:szCs w:val="18"/>
              </w:rPr>
            </w:pPr>
          </w:p>
        </w:tc>
      </w:tr>
      <w:tr w:rsidR="00171B89" w:rsidRPr="00BE5895" w14:paraId="4A63EC54" w14:textId="77777777" w:rsidTr="009E3CD5">
        <w:tc>
          <w:tcPr>
            <w:tcW w:w="1677" w:type="dxa"/>
            <w:shd w:val="clear" w:color="auto" w:fill="808080" w:themeFill="background1" w:themeFillShade="80"/>
          </w:tcPr>
          <w:p w14:paraId="0B13018F" w14:textId="77777777" w:rsidR="00171B89" w:rsidRPr="00BE5895" w:rsidRDefault="00171B89" w:rsidP="00AC6A05">
            <w:pPr>
              <w:pStyle w:val="MainNumber"/>
              <w:rPr>
                <w:rFonts w:ascii="Arial" w:hAnsi="Arial" w:cs="Arial"/>
                <w:b/>
                <w:bCs/>
                <w:color w:val="FFFFFF" w:themeColor="background1"/>
                <w:sz w:val="18"/>
                <w:szCs w:val="18"/>
              </w:rPr>
            </w:pPr>
            <w:r w:rsidRPr="00BE5895">
              <w:rPr>
                <w:rFonts w:ascii="Arial" w:hAnsi="Arial" w:cs="Arial"/>
                <w:b/>
                <w:bCs/>
                <w:color w:val="FFFFFF" w:themeColor="background1"/>
                <w:sz w:val="18"/>
                <w:szCs w:val="18"/>
              </w:rPr>
              <w:t>Disadvantages</w:t>
            </w:r>
          </w:p>
        </w:tc>
        <w:tc>
          <w:tcPr>
            <w:tcW w:w="3158" w:type="dxa"/>
            <w:shd w:val="clear" w:color="auto" w:fill="F2F2F2" w:themeFill="background1" w:themeFillShade="F2"/>
          </w:tcPr>
          <w:p w14:paraId="732F79C7" w14:textId="7DDBB7EB"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Requires Trust to have capital available.</w:t>
            </w:r>
          </w:p>
        </w:tc>
        <w:tc>
          <w:tcPr>
            <w:tcW w:w="3159" w:type="dxa"/>
            <w:shd w:val="clear" w:color="auto" w:fill="F2F2F2" w:themeFill="background1" w:themeFillShade="F2"/>
          </w:tcPr>
          <w:p w14:paraId="7F5FB549" w14:textId="7777777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Funding only available through application process.</w:t>
            </w:r>
          </w:p>
          <w:p w14:paraId="15BAA43D" w14:textId="7777777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Limited funding available.</w:t>
            </w:r>
          </w:p>
          <w:p w14:paraId="343B6F3C" w14:textId="14BCB1A1"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Match-funding required.</w:t>
            </w:r>
          </w:p>
          <w:p w14:paraId="672717AD" w14:textId="7777777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Administrative burden of application, reporting etc</w:t>
            </w:r>
          </w:p>
        </w:tc>
        <w:tc>
          <w:tcPr>
            <w:tcW w:w="3159" w:type="dxa"/>
            <w:shd w:val="clear" w:color="auto" w:fill="F2F2F2" w:themeFill="background1" w:themeFillShade="F2"/>
          </w:tcPr>
          <w:p w14:paraId="61C4419B" w14:textId="7777777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Rates of return are less than other options. Unlikely to generate a surplus for reinvesting.</w:t>
            </w:r>
          </w:p>
          <w:p w14:paraId="4115B784" w14:textId="7777777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Legal complexity and due diligence requires specialist input.</w:t>
            </w:r>
          </w:p>
          <w:p w14:paraId="792E257B" w14:textId="614C36B1" w:rsidR="00171B89" w:rsidRPr="00BE5895" w:rsidRDefault="007E7441" w:rsidP="00AC6A05">
            <w:pPr>
              <w:pStyle w:val="MainNumber"/>
              <w:jc w:val="left"/>
              <w:rPr>
                <w:rFonts w:ascii="Arial" w:hAnsi="Arial" w:cs="Arial"/>
                <w:color w:val="002060"/>
                <w:sz w:val="18"/>
                <w:szCs w:val="18"/>
              </w:rPr>
            </w:pPr>
            <w:r w:rsidRPr="00BE5895">
              <w:rPr>
                <w:rFonts w:ascii="Arial" w:hAnsi="Arial" w:cs="Arial"/>
                <w:color w:val="002060"/>
                <w:sz w:val="18"/>
                <w:szCs w:val="18"/>
              </w:rPr>
              <w:t>Will</w:t>
            </w:r>
            <w:r w:rsidR="00171B89" w:rsidRPr="00BE5895">
              <w:rPr>
                <w:rFonts w:ascii="Arial" w:hAnsi="Arial" w:cs="Arial"/>
                <w:color w:val="002060"/>
                <w:sz w:val="18"/>
                <w:szCs w:val="18"/>
              </w:rPr>
              <w:t xml:space="preserve"> require Secretary of State approval pending new DfE guidance </w:t>
            </w:r>
          </w:p>
        </w:tc>
        <w:tc>
          <w:tcPr>
            <w:tcW w:w="3159" w:type="dxa"/>
            <w:shd w:val="clear" w:color="auto" w:fill="F2F2F2" w:themeFill="background1" w:themeFillShade="F2"/>
          </w:tcPr>
          <w:p w14:paraId="7A60DA6A" w14:textId="7777777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Finance costs reduce the returns generated.</w:t>
            </w:r>
          </w:p>
          <w:p w14:paraId="70A802BA" w14:textId="7777777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Legal complexity and due diligence requires specialist input.</w:t>
            </w:r>
          </w:p>
          <w:p w14:paraId="787D7AE6" w14:textId="7777777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Does not work for all low-carbon technologies.</w:t>
            </w:r>
          </w:p>
          <w:p w14:paraId="00E0C7F7" w14:textId="1FFCC083" w:rsidR="00171B89" w:rsidRPr="00BE5895" w:rsidRDefault="00F7061E" w:rsidP="00AC6A05">
            <w:pPr>
              <w:pStyle w:val="MainNumber"/>
              <w:jc w:val="left"/>
              <w:rPr>
                <w:rFonts w:ascii="Arial" w:hAnsi="Arial" w:cs="Arial"/>
                <w:color w:val="002060"/>
                <w:sz w:val="18"/>
                <w:szCs w:val="18"/>
              </w:rPr>
            </w:pPr>
            <w:r w:rsidRPr="00BE5895">
              <w:rPr>
                <w:rFonts w:ascii="Arial" w:hAnsi="Arial" w:cs="Arial"/>
                <w:color w:val="002060"/>
                <w:sz w:val="18"/>
                <w:szCs w:val="18"/>
              </w:rPr>
              <w:t>Will</w:t>
            </w:r>
            <w:r w:rsidR="00171B89" w:rsidRPr="00BE5895">
              <w:rPr>
                <w:rFonts w:ascii="Arial" w:hAnsi="Arial" w:cs="Arial"/>
                <w:color w:val="002060"/>
                <w:sz w:val="18"/>
                <w:szCs w:val="18"/>
              </w:rPr>
              <w:t xml:space="preserve"> require Secretary of State approval pending new DfE guidance.</w:t>
            </w:r>
          </w:p>
        </w:tc>
      </w:tr>
      <w:tr w:rsidR="00171B89" w:rsidRPr="00BE5895" w14:paraId="1A42C3F2" w14:textId="77777777" w:rsidTr="009E3CD5">
        <w:tc>
          <w:tcPr>
            <w:tcW w:w="1677" w:type="dxa"/>
            <w:shd w:val="clear" w:color="auto" w:fill="808080" w:themeFill="background1" w:themeFillShade="80"/>
          </w:tcPr>
          <w:p w14:paraId="766E22B0" w14:textId="77777777" w:rsidR="00171B89" w:rsidRPr="00BE5895" w:rsidRDefault="00171B89" w:rsidP="00AC6A05">
            <w:pPr>
              <w:pStyle w:val="MainNumber"/>
              <w:rPr>
                <w:rFonts w:ascii="Arial" w:hAnsi="Arial" w:cs="Arial"/>
                <w:b/>
                <w:bCs/>
                <w:color w:val="FFFFFF" w:themeColor="background1"/>
                <w:sz w:val="18"/>
                <w:szCs w:val="18"/>
              </w:rPr>
            </w:pPr>
            <w:r w:rsidRPr="00BE5895">
              <w:rPr>
                <w:rFonts w:ascii="Arial" w:hAnsi="Arial" w:cs="Arial"/>
                <w:b/>
                <w:bCs/>
                <w:color w:val="FFFFFF" w:themeColor="background1"/>
                <w:sz w:val="18"/>
                <w:szCs w:val="18"/>
              </w:rPr>
              <w:t>Summary</w:t>
            </w:r>
          </w:p>
        </w:tc>
        <w:tc>
          <w:tcPr>
            <w:tcW w:w="3158" w:type="dxa"/>
            <w:shd w:val="clear" w:color="auto" w:fill="D9D9D9" w:themeFill="background1" w:themeFillShade="D9"/>
          </w:tcPr>
          <w:p w14:paraId="7A35ACE0" w14:textId="581D9D09"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 xml:space="preserve">A viable and flexible </w:t>
            </w:r>
            <w:r w:rsidR="009E3CD5" w:rsidRPr="00BE5895">
              <w:rPr>
                <w:rFonts w:ascii="Arial" w:hAnsi="Arial" w:cs="Arial"/>
                <w:color w:val="002060"/>
                <w:sz w:val="18"/>
                <w:szCs w:val="18"/>
              </w:rPr>
              <w:t>provided</w:t>
            </w:r>
            <w:r w:rsidR="00711A72" w:rsidRPr="00BE5895">
              <w:rPr>
                <w:rFonts w:ascii="Arial" w:hAnsi="Arial" w:cs="Arial"/>
                <w:color w:val="002060"/>
                <w:sz w:val="18"/>
                <w:szCs w:val="18"/>
              </w:rPr>
              <w:t xml:space="preserve"> the Trust is in a</w:t>
            </w:r>
            <w:r w:rsidRPr="00BE5895">
              <w:rPr>
                <w:rFonts w:ascii="Arial" w:hAnsi="Arial" w:cs="Arial"/>
                <w:color w:val="002060"/>
                <w:sz w:val="18"/>
                <w:szCs w:val="18"/>
              </w:rPr>
              <w:t xml:space="preserve"> strong financial </w:t>
            </w:r>
            <w:r w:rsidR="00711A72" w:rsidRPr="00BE5895">
              <w:rPr>
                <w:rFonts w:ascii="Arial" w:hAnsi="Arial" w:cs="Arial"/>
                <w:color w:val="002060"/>
                <w:sz w:val="18"/>
                <w:szCs w:val="18"/>
              </w:rPr>
              <w:t>position with a</w:t>
            </w:r>
            <w:r w:rsidRPr="00BE5895">
              <w:rPr>
                <w:rFonts w:ascii="Arial" w:hAnsi="Arial" w:cs="Arial"/>
                <w:color w:val="002060"/>
                <w:sz w:val="18"/>
                <w:szCs w:val="18"/>
              </w:rPr>
              <w:t xml:space="preserve"> well-developed estate strategy &amp; budget.</w:t>
            </w:r>
          </w:p>
        </w:tc>
        <w:tc>
          <w:tcPr>
            <w:tcW w:w="3159" w:type="dxa"/>
            <w:shd w:val="clear" w:color="auto" w:fill="D9D9D9" w:themeFill="background1" w:themeFillShade="D9"/>
          </w:tcPr>
          <w:p w14:paraId="7835FFCA" w14:textId="2FDC9BE5"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A possible option but delays in securing funding could outweigh costs of other options.</w:t>
            </w:r>
          </w:p>
        </w:tc>
        <w:tc>
          <w:tcPr>
            <w:tcW w:w="3159" w:type="dxa"/>
            <w:shd w:val="clear" w:color="auto" w:fill="D9D9D9" w:themeFill="background1" w:themeFillShade="D9"/>
          </w:tcPr>
          <w:p w14:paraId="4AA2D04F" w14:textId="43DB034F"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A viable option for risk-averse organisations who simply want to buy energy at a firm but discounted price for a period such as 20 years but returns are low</w:t>
            </w:r>
            <w:r w:rsidR="007E7441" w:rsidRPr="00BE5895">
              <w:rPr>
                <w:rFonts w:ascii="Arial" w:hAnsi="Arial" w:cs="Arial"/>
                <w:color w:val="002060"/>
                <w:sz w:val="18"/>
                <w:szCs w:val="18"/>
              </w:rPr>
              <w:t>.</w:t>
            </w:r>
          </w:p>
        </w:tc>
        <w:tc>
          <w:tcPr>
            <w:tcW w:w="3159" w:type="dxa"/>
            <w:shd w:val="clear" w:color="auto" w:fill="D9D9D9" w:themeFill="background1" w:themeFillShade="D9"/>
          </w:tcPr>
          <w:p w14:paraId="631E3E24" w14:textId="397C8637" w:rsidR="00171B89" w:rsidRPr="00BE5895" w:rsidRDefault="00171B89" w:rsidP="00AC6A05">
            <w:pPr>
              <w:pStyle w:val="MainNumber"/>
              <w:jc w:val="left"/>
              <w:rPr>
                <w:rFonts w:ascii="Arial" w:hAnsi="Arial" w:cs="Arial"/>
                <w:color w:val="002060"/>
                <w:sz w:val="18"/>
                <w:szCs w:val="18"/>
              </w:rPr>
            </w:pPr>
            <w:r w:rsidRPr="00BE5895">
              <w:rPr>
                <w:rFonts w:ascii="Arial" w:hAnsi="Arial" w:cs="Arial"/>
                <w:color w:val="002060"/>
                <w:sz w:val="18"/>
                <w:szCs w:val="18"/>
              </w:rPr>
              <w:t>A viable option for most organisations, especially for Solar PV and LED lighting. Likely to generate surplus and enables</w:t>
            </w:r>
            <w:r w:rsidR="0082655F">
              <w:rPr>
                <w:rFonts w:ascii="Arial" w:hAnsi="Arial" w:cs="Arial"/>
                <w:color w:val="002060"/>
                <w:sz w:val="18"/>
                <w:szCs w:val="18"/>
              </w:rPr>
              <w:t xml:space="preserve"> more rapid start</w:t>
            </w:r>
            <w:r w:rsidRPr="00BE5895">
              <w:rPr>
                <w:rFonts w:ascii="Arial" w:hAnsi="Arial" w:cs="Arial"/>
                <w:color w:val="002060"/>
                <w:sz w:val="18"/>
                <w:szCs w:val="18"/>
              </w:rPr>
              <w:t xml:space="preserve"> </w:t>
            </w:r>
          </w:p>
        </w:tc>
      </w:tr>
      <w:bookmarkEnd w:id="25"/>
    </w:tbl>
    <w:p w14:paraId="73F78E31" w14:textId="77777777" w:rsidR="00C26B63" w:rsidRDefault="00C26B63" w:rsidP="00653AB4">
      <w:pPr>
        <w:sectPr w:rsidR="00C26B63" w:rsidSect="003B2BBC">
          <w:pgSz w:w="16838" w:h="11906" w:orient="landscape"/>
          <w:pgMar w:top="1440" w:right="1440" w:bottom="1440" w:left="1440" w:header="709" w:footer="624" w:gutter="0"/>
          <w:cols w:space="708"/>
          <w:titlePg/>
          <w:docGrid w:linePitch="360"/>
        </w:sectPr>
      </w:pPr>
    </w:p>
    <w:p w14:paraId="7D57561A" w14:textId="6D452EB1" w:rsidR="00BD4FA0" w:rsidRDefault="0058109E" w:rsidP="0058109E">
      <w:pPr>
        <w:pStyle w:val="Heading1"/>
      </w:pPr>
      <w:bookmarkStart w:id="26" w:name="_Toc114170245"/>
      <w:r>
        <w:lastRenderedPageBreak/>
        <w:t>Next Steps/Roadmap</w:t>
      </w:r>
      <w:bookmarkEnd w:id="26"/>
    </w:p>
    <w:p w14:paraId="04AD0960" w14:textId="6A7C50D4" w:rsidR="0058109E" w:rsidRDefault="0058109E" w:rsidP="0058109E">
      <w:pPr>
        <w:pStyle w:val="Heading2"/>
      </w:pPr>
      <w:bookmarkStart w:id="27" w:name="_Toc114170246"/>
      <w:r>
        <w:t>Upcoming actions</w:t>
      </w:r>
      <w:bookmarkEnd w:id="27"/>
    </w:p>
    <w:p w14:paraId="2FAC74C3" w14:textId="0A162C96" w:rsidR="0058109E" w:rsidRPr="009F2992" w:rsidRDefault="0058109E" w:rsidP="00653AB4">
      <w:pPr>
        <w:rPr>
          <w:rFonts w:ascii="Arial" w:hAnsi="Arial" w:cs="Arial"/>
          <w:sz w:val="24"/>
          <w:szCs w:val="24"/>
        </w:rPr>
      </w:pPr>
      <w:r w:rsidRPr="009F2992">
        <w:rPr>
          <w:rFonts w:ascii="Arial" w:hAnsi="Arial" w:cs="Arial"/>
          <w:sz w:val="24"/>
          <w:szCs w:val="24"/>
        </w:rPr>
        <w:t>The following actions have been identified as immediate priorities for 2022/23</w:t>
      </w:r>
      <w:r w:rsidR="009F2992" w:rsidRPr="009F2992">
        <w:rPr>
          <w:rFonts w:ascii="Arial" w:hAnsi="Arial" w:cs="Arial"/>
          <w:sz w:val="24"/>
          <w:szCs w:val="24"/>
        </w:rPr>
        <w:t>.</w:t>
      </w:r>
    </w:p>
    <w:tbl>
      <w:tblPr>
        <w:tblStyle w:val="TableGrid"/>
        <w:tblW w:w="0" w:type="auto"/>
        <w:tblInd w:w="137" w:type="dxa"/>
        <w:tblLook w:val="04A0" w:firstRow="1" w:lastRow="0" w:firstColumn="1" w:lastColumn="0" w:noHBand="0" w:noVBand="1"/>
      </w:tblPr>
      <w:tblGrid>
        <w:gridCol w:w="2369"/>
        <w:gridCol w:w="4655"/>
        <w:gridCol w:w="1855"/>
      </w:tblGrid>
      <w:tr w:rsidR="009F2992" w:rsidRPr="00317DC8" w14:paraId="53D9F811" w14:textId="77777777" w:rsidTr="009F2992">
        <w:tc>
          <w:tcPr>
            <w:tcW w:w="2410" w:type="dxa"/>
          </w:tcPr>
          <w:p w14:paraId="4B75F40D" w14:textId="77777777" w:rsidR="009F2992" w:rsidRPr="009F2992" w:rsidRDefault="009F2992" w:rsidP="00CB7E4B">
            <w:pPr>
              <w:rPr>
                <w:rFonts w:ascii="Arial" w:hAnsi="Arial" w:cs="Arial"/>
                <w:b/>
                <w:bCs/>
              </w:rPr>
            </w:pPr>
            <w:r w:rsidRPr="009F2992">
              <w:rPr>
                <w:rFonts w:ascii="Arial" w:hAnsi="Arial" w:cs="Arial"/>
                <w:b/>
                <w:bCs/>
              </w:rPr>
              <w:t>Project</w:t>
            </w:r>
          </w:p>
        </w:tc>
        <w:tc>
          <w:tcPr>
            <w:tcW w:w="4819" w:type="dxa"/>
          </w:tcPr>
          <w:p w14:paraId="07207F8D" w14:textId="77777777" w:rsidR="009F2992" w:rsidRPr="009F2992" w:rsidRDefault="009F2992" w:rsidP="00CB7E4B">
            <w:pPr>
              <w:rPr>
                <w:rFonts w:ascii="Arial" w:hAnsi="Arial" w:cs="Arial"/>
                <w:b/>
                <w:bCs/>
              </w:rPr>
            </w:pPr>
            <w:r w:rsidRPr="009F2992">
              <w:rPr>
                <w:rFonts w:ascii="Arial" w:hAnsi="Arial" w:cs="Arial"/>
                <w:b/>
                <w:bCs/>
              </w:rPr>
              <w:t>Notes/Target</w:t>
            </w:r>
          </w:p>
        </w:tc>
        <w:tc>
          <w:tcPr>
            <w:tcW w:w="1650" w:type="dxa"/>
          </w:tcPr>
          <w:p w14:paraId="04C9FC20" w14:textId="77777777" w:rsidR="009F2992" w:rsidRPr="009F2992" w:rsidRDefault="009F2992" w:rsidP="00CB7E4B">
            <w:pPr>
              <w:rPr>
                <w:rFonts w:ascii="Arial" w:hAnsi="Arial" w:cs="Arial"/>
                <w:b/>
                <w:bCs/>
              </w:rPr>
            </w:pPr>
            <w:r w:rsidRPr="009F2992">
              <w:rPr>
                <w:rFonts w:ascii="Arial" w:hAnsi="Arial" w:cs="Arial"/>
                <w:b/>
                <w:bCs/>
              </w:rPr>
              <w:t>Trust Lead</w:t>
            </w:r>
          </w:p>
        </w:tc>
      </w:tr>
      <w:tr w:rsidR="009F2992" w:rsidRPr="00317DC8" w14:paraId="6AD22FAE" w14:textId="77777777" w:rsidTr="009F2992">
        <w:tc>
          <w:tcPr>
            <w:tcW w:w="7229" w:type="dxa"/>
            <w:gridSpan w:val="2"/>
          </w:tcPr>
          <w:p w14:paraId="6C0E96F7" w14:textId="77777777" w:rsidR="009F2992" w:rsidRPr="009F2992" w:rsidRDefault="009F2992" w:rsidP="00CB7E4B">
            <w:pPr>
              <w:rPr>
                <w:rFonts w:ascii="Arial" w:hAnsi="Arial" w:cs="Arial"/>
                <w:i/>
                <w:iCs/>
              </w:rPr>
            </w:pPr>
            <w:r w:rsidRPr="009F2992">
              <w:rPr>
                <w:rFonts w:ascii="Arial" w:hAnsi="Arial" w:cs="Arial"/>
                <w:i/>
                <w:iCs/>
              </w:rPr>
              <w:t>Energy Procurement</w:t>
            </w:r>
          </w:p>
        </w:tc>
        <w:tc>
          <w:tcPr>
            <w:tcW w:w="1650" w:type="dxa"/>
          </w:tcPr>
          <w:p w14:paraId="06C26610" w14:textId="77777777" w:rsidR="009F2992" w:rsidRPr="009F2992" w:rsidRDefault="009F2992" w:rsidP="00CB7E4B">
            <w:pPr>
              <w:rPr>
                <w:rFonts w:ascii="Arial" w:hAnsi="Arial" w:cs="Arial"/>
                <w:i/>
                <w:iCs/>
              </w:rPr>
            </w:pPr>
          </w:p>
        </w:tc>
      </w:tr>
      <w:tr w:rsidR="009F2992" w14:paraId="24E03539" w14:textId="77777777" w:rsidTr="009F2992">
        <w:tc>
          <w:tcPr>
            <w:tcW w:w="2410" w:type="dxa"/>
          </w:tcPr>
          <w:p w14:paraId="1C7C0513" w14:textId="77777777" w:rsidR="009F2992" w:rsidRPr="009F2992" w:rsidRDefault="009F2992" w:rsidP="00CB7E4B">
            <w:pPr>
              <w:rPr>
                <w:rFonts w:ascii="Arial" w:hAnsi="Arial" w:cs="Arial"/>
              </w:rPr>
            </w:pPr>
            <w:r w:rsidRPr="009F2992">
              <w:rPr>
                <w:rFonts w:ascii="Arial" w:hAnsi="Arial" w:cs="Arial"/>
              </w:rPr>
              <w:t>Procurement of energy for contract renewal (October 2023)</w:t>
            </w:r>
          </w:p>
        </w:tc>
        <w:tc>
          <w:tcPr>
            <w:tcW w:w="4819" w:type="dxa"/>
          </w:tcPr>
          <w:p w14:paraId="5CDB5BE1" w14:textId="77777777" w:rsidR="009F2992" w:rsidRPr="009F2992" w:rsidRDefault="009F2992" w:rsidP="00CB7E4B">
            <w:pPr>
              <w:rPr>
                <w:rFonts w:ascii="Arial" w:hAnsi="Arial" w:cs="Arial"/>
              </w:rPr>
            </w:pPr>
            <w:r w:rsidRPr="009F2992">
              <w:rPr>
                <w:rFonts w:ascii="Arial" w:hAnsi="Arial" w:cs="Arial"/>
              </w:rPr>
              <w:t>Consider options for procurement using ‘green’ tariffs to signal the Trust’s commitment to carbon reduction</w:t>
            </w:r>
          </w:p>
        </w:tc>
        <w:tc>
          <w:tcPr>
            <w:tcW w:w="1650" w:type="dxa"/>
          </w:tcPr>
          <w:p w14:paraId="6660A67F" w14:textId="77777777" w:rsidR="009F2992" w:rsidRPr="009F2992" w:rsidRDefault="009F2992" w:rsidP="00CB7E4B">
            <w:pPr>
              <w:rPr>
                <w:rFonts w:ascii="Arial" w:hAnsi="Arial" w:cs="Arial"/>
              </w:rPr>
            </w:pPr>
            <w:r w:rsidRPr="009F2992">
              <w:rPr>
                <w:rFonts w:ascii="Arial" w:hAnsi="Arial" w:cs="Arial"/>
              </w:rPr>
              <w:t>COO/Director of Operations</w:t>
            </w:r>
          </w:p>
        </w:tc>
      </w:tr>
      <w:tr w:rsidR="009F2992" w14:paraId="220CBE83" w14:textId="77777777" w:rsidTr="009F2992">
        <w:tc>
          <w:tcPr>
            <w:tcW w:w="8879" w:type="dxa"/>
            <w:gridSpan w:val="3"/>
          </w:tcPr>
          <w:p w14:paraId="48669270" w14:textId="77777777" w:rsidR="009F2992" w:rsidRPr="009F2992" w:rsidRDefault="009F2992" w:rsidP="00CB7E4B">
            <w:pPr>
              <w:rPr>
                <w:rFonts w:ascii="Arial" w:hAnsi="Arial" w:cs="Arial"/>
                <w:i/>
                <w:iCs/>
              </w:rPr>
            </w:pPr>
            <w:r w:rsidRPr="009F2992">
              <w:rPr>
                <w:rFonts w:ascii="Arial" w:hAnsi="Arial" w:cs="Arial"/>
                <w:i/>
                <w:iCs/>
              </w:rPr>
              <w:t>Reduction of Energy Consumption</w:t>
            </w:r>
          </w:p>
        </w:tc>
      </w:tr>
      <w:tr w:rsidR="009F2992" w14:paraId="39416279" w14:textId="77777777" w:rsidTr="009F2992">
        <w:tc>
          <w:tcPr>
            <w:tcW w:w="2410" w:type="dxa"/>
          </w:tcPr>
          <w:p w14:paraId="5DF569AD" w14:textId="77777777" w:rsidR="009F2992" w:rsidRPr="009F2992" w:rsidRDefault="009F2992" w:rsidP="00CB7E4B">
            <w:pPr>
              <w:rPr>
                <w:rFonts w:ascii="Arial" w:hAnsi="Arial" w:cs="Arial"/>
              </w:rPr>
            </w:pPr>
            <w:r w:rsidRPr="009F2992">
              <w:rPr>
                <w:rFonts w:ascii="Arial" w:hAnsi="Arial" w:cs="Arial"/>
              </w:rPr>
              <w:t>Review SCA Programme in line with Asset Management Plan</w:t>
            </w:r>
          </w:p>
        </w:tc>
        <w:tc>
          <w:tcPr>
            <w:tcW w:w="4819" w:type="dxa"/>
          </w:tcPr>
          <w:p w14:paraId="2AE3F3A1" w14:textId="77777777" w:rsidR="009F2992" w:rsidRPr="009F2992" w:rsidRDefault="009F2992" w:rsidP="00CB7E4B">
            <w:pPr>
              <w:rPr>
                <w:rFonts w:ascii="Arial" w:hAnsi="Arial" w:cs="Arial"/>
              </w:rPr>
            </w:pPr>
            <w:r w:rsidRPr="009F2992">
              <w:rPr>
                <w:rFonts w:ascii="Arial" w:hAnsi="Arial" w:cs="Arial"/>
              </w:rPr>
              <w:t xml:space="preserve">SCA programme to be reviewed to ensure that projects are focussed on energy reduction/generation </w:t>
            </w:r>
          </w:p>
        </w:tc>
        <w:tc>
          <w:tcPr>
            <w:tcW w:w="1650" w:type="dxa"/>
          </w:tcPr>
          <w:p w14:paraId="060642E8" w14:textId="77777777" w:rsidR="009F2992" w:rsidRPr="009F2992" w:rsidRDefault="009F2992" w:rsidP="00CB7E4B">
            <w:pPr>
              <w:rPr>
                <w:rFonts w:ascii="Arial" w:hAnsi="Arial" w:cs="Arial"/>
              </w:rPr>
            </w:pPr>
            <w:r w:rsidRPr="009F2992">
              <w:rPr>
                <w:rFonts w:ascii="Arial" w:hAnsi="Arial" w:cs="Arial"/>
              </w:rPr>
              <w:t>COO/Director of Operations</w:t>
            </w:r>
          </w:p>
        </w:tc>
      </w:tr>
      <w:tr w:rsidR="009F2992" w14:paraId="349B9CCE" w14:textId="77777777" w:rsidTr="009F2992">
        <w:tc>
          <w:tcPr>
            <w:tcW w:w="2410" w:type="dxa"/>
          </w:tcPr>
          <w:p w14:paraId="1C6B8B89" w14:textId="77777777" w:rsidR="009F2992" w:rsidRPr="009F2992" w:rsidRDefault="009F2992" w:rsidP="00CB7E4B">
            <w:pPr>
              <w:rPr>
                <w:rFonts w:ascii="Arial" w:hAnsi="Arial" w:cs="Arial"/>
              </w:rPr>
            </w:pPr>
            <w:r w:rsidRPr="009F2992">
              <w:rPr>
                <w:rFonts w:ascii="Arial" w:hAnsi="Arial" w:cs="Arial"/>
              </w:rPr>
              <w:t>Review options for automated power management of IT devices</w:t>
            </w:r>
          </w:p>
        </w:tc>
        <w:tc>
          <w:tcPr>
            <w:tcW w:w="4819" w:type="dxa"/>
          </w:tcPr>
          <w:p w14:paraId="64D4B67F" w14:textId="77777777" w:rsidR="009F2992" w:rsidRPr="009F2992" w:rsidRDefault="009F2992" w:rsidP="00CB7E4B">
            <w:pPr>
              <w:rPr>
                <w:rFonts w:ascii="Arial" w:hAnsi="Arial" w:cs="Arial"/>
              </w:rPr>
            </w:pPr>
            <w:r w:rsidRPr="009F2992">
              <w:rPr>
                <w:rFonts w:ascii="Arial" w:hAnsi="Arial" w:cs="Arial"/>
              </w:rPr>
              <w:t>Ensure that the Trust is making best use of existing tools to manage devices eg automating switch-off of classroom screens</w:t>
            </w:r>
          </w:p>
        </w:tc>
        <w:tc>
          <w:tcPr>
            <w:tcW w:w="1650" w:type="dxa"/>
          </w:tcPr>
          <w:p w14:paraId="4F6A1B06" w14:textId="77777777" w:rsidR="009F2992" w:rsidRPr="009F2992" w:rsidRDefault="009F2992" w:rsidP="00CB7E4B">
            <w:pPr>
              <w:rPr>
                <w:rFonts w:ascii="Arial" w:hAnsi="Arial" w:cs="Arial"/>
              </w:rPr>
            </w:pPr>
            <w:r w:rsidRPr="009F2992">
              <w:rPr>
                <w:rFonts w:ascii="Arial" w:hAnsi="Arial" w:cs="Arial"/>
              </w:rPr>
              <w:t>Director of ICT</w:t>
            </w:r>
          </w:p>
        </w:tc>
      </w:tr>
      <w:tr w:rsidR="009F2992" w14:paraId="4899E0AD" w14:textId="77777777" w:rsidTr="009F2992">
        <w:tc>
          <w:tcPr>
            <w:tcW w:w="2410" w:type="dxa"/>
          </w:tcPr>
          <w:p w14:paraId="50DB6CB1" w14:textId="77777777" w:rsidR="009F2992" w:rsidRPr="009F2992" w:rsidRDefault="009F2992" w:rsidP="00CB7E4B">
            <w:pPr>
              <w:rPr>
                <w:rFonts w:ascii="Arial" w:hAnsi="Arial" w:cs="Arial"/>
              </w:rPr>
            </w:pPr>
            <w:r w:rsidRPr="009F2992">
              <w:rPr>
                <w:rFonts w:ascii="Arial" w:hAnsi="Arial" w:cs="Arial"/>
              </w:rPr>
              <w:t>Complete quick win projects</w:t>
            </w:r>
          </w:p>
        </w:tc>
        <w:tc>
          <w:tcPr>
            <w:tcW w:w="4819" w:type="dxa"/>
          </w:tcPr>
          <w:p w14:paraId="0CE5A4AF" w14:textId="77777777" w:rsidR="009F2992" w:rsidRPr="009F2992" w:rsidRDefault="009F2992" w:rsidP="00CB7E4B">
            <w:pPr>
              <w:rPr>
                <w:rFonts w:ascii="Arial" w:hAnsi="Arial" w:cs="Arial"/>
              </w:rPr>
            </w:pPr>
            <w:r w:rsidRPr="009F2992">
              <w:rPr>
                <w:rFonts w:ascii="Arial" w:hAnsi="Arial" w:cs="Arial"/>
              </w:rPr>
              <w:t>Energy surveys identified some quick wins including Savawatt and insulation projects</w:t>
            </w:r>
          </w:p>
        </w:tc>
        <w:tc>
          <w:tcPr>
            <w:tcW w:w="1650" w:type="dxa"/>
          </w:tcPr>
          <w:p w14:paraId="60EB9401" w14:textId="77777777" w:rsidR="009F2992" w:rsidRPr="009F2992" w:rsidRDefault="009F2992" w:rsidP="00CB7E4B">
            <w:pPr>
              <w:rPr>
                <w:rFonts w:ascii="Arial" w:hAnsi="Arial" w:cs="Arial"/>
              </w:rPr>
            </w:pPr>
            <w:r w:rsidRPr="009F2992">
              <w:rPr>
                <w:rFonts w:ascii="Arial" w:hAnsi="Arial" w:cs="Arial"/>
              </w:rPr>
              <w:t>Director of Operations</w:t>
            </w:r>
          </w:p>
        </w:tc>
      </w:tr>
      <w:tr w:rsidR="009F2992" w14:paraId="1B0E195F" w14:textId="77777777" w:rsidTr="009F2992">
        <w:tc>
          <w:tcPr>
            <w:tcW w:w="2410" w:type="dxa"/>
          </w:tcPr>
          <w:p w14:paraId="524D1F6B" w14:textId="77777777" w:rsidR="009F2992" w:rsidRPr="009F2992" w:rsidRDefault="009F2992" w:rsidP="00CB7E4B">
            <w:pPr>
              <w:rPr>
                <w:rFonts w:ascii="Arial" w:hAnsi="Arial" w:cs="Arial"/>
              </w:rPr>
            </w:pPr>
            <w:r w:rsidRPr="009F2992">
              <w:rPr>
                <w:rFonts w:ascii="Arial" w:hAnsi="Arial" w:cs="Arial"/>
              </w:rPr>
              <w:t>Analyse usage</w:t>
            </w:r>
          </w:p>
        </w:tc>
        <w:tc>
          <w:tcPr>
            <w:tcW w:w="4819" w:type="dxa"/>
          </w:tcPr>
          <w:p w14:paraId="73BB2C27" w14:textId="77777777" w:rsidR="009F2992" w:rsidRPr="009F2992" w:rsidRDefault="009F2992" w:rsidP="00CB7E4B">
            <w:pPr>
              <w:rPr>
                <w:rFonts w:ascii="Arial" w:hAnsi="Arial" w:cs="Arial"/>
              </w:rPr>
            </w:pPr>
            <w:r w:rsidRPr="009F2992">
              <w:rPr>
                <w:rFonts w:ascii="Arial" w:hAnsi="Arial" w:cs="Arial"/>
              </w:rPr>
              <w:t>Where we have data analyse and reduce usage outside of school hours by optimising controls etc</w:t>
            </w:r>
          </w:p>
        </w:tc>
        <w:tc>
          <w:tcPr>
            <w:tcW w:w="1650" w:type="dxa"/>
          </w:tcPr>
          <w:p w14:paraId="6E99BDAA" w14:textId="77777777" w:rsidR="009F2992" w:rsidRPr="009F2992" w:rsidRDefault="009F2992" w:rsidP="00CB7E4B">
            <w:pPr>
              <w:rPr>
                <w:rFonts w:ascii="Arial" w:hAnsi="Arial" w:cs="Arial"/>
              </w:rPr>
            </w:pPr>
            <w:r w:rsidRPr="009F2992">
              <w:rPr>
                <w:rFonts w:ascii="Arial" w:hAnsi="Arial" w:cs="Arial"/>
              </w:rPr>
              <w:t>Director of Operations</w:t>
            </w:r>
          </w:p>
        </w:tc>
      </w:tr>
      <w:tr w:rsidR="009F2992" w14:paraId="03907482" w14:textId="77777777" w:rsidTr="009F2992">
        <w:tc>
          <w:tcPr>
            <w:tcW w:w="2410" w:type="dxa"/>
          </w:tcPr>
          <w:p w14:paraId="06F019AC" w14:textId="77777777" w:rsidR="009F2992" w:rsidRPr="009F2992" w:rsidRDefault="009F2992" w:rsidP="00CB7E4B">
            <w:pPr>
              <w:rPr>
                <w:rFonts w:ascii="Arial" w:hAnsi="Arial" w:cs="Arial"/>
              </w:rPr>
            </w:pPr>
            <w:r w:rsidRPr="009F2992">
              <w:rPr>
                <w:rFonts w:ascii="Arial" w:hAnsi="Arial" w:cs="Arial"/>
              </w:rPr>
              <w:t>Sawston Village College DfE project</w:t>
            </w:r>
          </w:p>
        </w:tc>
        <w:tc>
          <w:tcPr>
            <w:tcW w:w="4819" w:type="dxa"/>
          </w:tcPr>
          <w:p w14:paraId="44158BE3" w14:textId="77777777" w:rsidR="009F2992" w:rsidRPr="009F2992" w:rsidRDefault="009F2992" w:rsidP="00CB7E4B">
            <w:pPr>
              <w:rPr>
                <w:rFonts w:ascii="Arial" w:hAnsi="Arial" w:cs="Arial"/>
              </w:rPr>
            </w:pPr>
            <w:r w:rsidRPr="009F2992">
              <w:rPr>
                <w:rFonts w:ascii="Arial" w:hAnsi="Arial" w:cs="Arial"/>
              </w:rPr>
              <w:t>Continue to engage with this project to ensure that decarbonisation opportunities are maximised and plans include roadmap for the rest of the site</w:t>
            </w:r>
          </w:p>
        </w:tc>
        <w:tc>
          <w:tcPr>
            <w:tcW w:w="1650" w:type="dxa"/>
          </w:tcPr>
          <w:p w14:paraId="09A46A58" w14:textId="77777777" w:rsidR="009F2992" w:rsidRPr="009F2992" w:rsidRDefault="009F2992" w:rsidP="00CB7E4B">
            <w:pPr>
              <w:rPr>
                <w:rFonts w:ascii="Arial" w:hAnsi="Arial" w:cs="Arial"/>
              </w:rPr>
            </w:pPr>
            <w:r w:rsidRPr="009F2992">
              <w:rPr>
                <w:rFonts w:ascii="Arial" w:hAnsi="Arial" w:cs="Arial"/>
              </w:rPr>
              <w:t>Director of Operations</w:t>
            </w:r>
          </w:p>
        </w:tc>
      </w:tr>
      <w:tr w:rsidR="009F2992" w14:paraId="6D9117EF" w14:textId="77777777" w:rsidTr="009F2992">
        <w:tc>
          <w:tcPr>
            <w:tcW w:w="2410" w:type="dxa"/>
          </w:tcPr>
          <w:p w14:paraId="57D25E17" w14:textId="77777777" w:rsidR="009F2992" w:rsidRPr="009F2992" w:rsidRDefault="009F2992" w:rsidP="00CB7E4B">
            <w:pPr>
              <w:rPr>
                <w:rFonts w:ascii="Arial" w:hAnsi="Arial" w:cs="Arial"/>
              </w:rPr>
            </w:pPr>
            <w:r w:rsidRPr="009F2992">
              <w:rPr>
                <w:rFonts w:ascii="Arial" w:hAnsi="Arial" w:cs="Arial"/>
              </w:rPr>
              <w:t>New catering contract</w:t>
            </w:r>
          </w:p>
        </w:tc>
        <w:tc>
          <w:tcPr>
            <w:tcW w:w="4819" w:type="dxa"/>
          </w:tcPr>
          <w:p w14:paraId="3C708168" w14:textId="77777777" w:rsidR="009F2992" w:rsidRPr="009F2992" w:rsidRDefault="009F2992" w:rsidP="00CB7E4B">
            <w:pPr>
              <w:rPr>
                <w:rFonts w:ascii="Arial" w:hAnsi="Arial" w:cs="Arial"/>
              </w:rPr>
            </w:pPr>
            <w:r w:rsidRPr="009F2992">
              <w:rPr>
                <w:rFonts w:ascii="Arial" w:hAnsi="Arial" w:cs="Arial"/>
              </w:rPr>
              <w:t>Engage with the new catering contractor to ensure that they understand decarbonisation objective</w:t>
            </w:r>
          </w:p>
        </w:tc>
        <w:tc>
          <w:tcPr>
            <w:tcW w:w="1650" w:type="dxa"/>
          </w:tcPr>
          <w:p w14:paraId="43213F95" w14:textId="77777777" w:rsidR="009F2992" w:rsidRPr="009F2992" w:rsidRDefault="009F2992" w:rsidP="00CB7E4B">
            <w:pPr>
              <w:rPr>
                <w:rFonts w:ascii="Arial" w:hAnsi="Arial" w:cs="Arial"/>
              </w:rPr>
            </w:pPr>
            <w:r w:rsidRPr="009F2992">
              <w:rPr>
                <w:rFonts w:ascii="Arial" w:hAnsi="Arial" w:cs="Arial"/>
              </w:rPr>
              <w:t>COO</w:t>
            </w:r>
          </w:p>
        </w:tc>
      </w:tr>
      <w:tr w:rsidR="009F2992" w14:paraId="234E783F" w14:textId="77777777" w:rsidTr="009F2992">
        <w:tc>
          <w:tcPr>
            <w:tcW w:w="2410" w:type="dxa"/>
          </w:tcPr>
          <w:p w14:paraId="72501FBC" w14:textId="77777777" w:rsidR="009F2992" w:rsidRPr="009F2992" w:rsidRDefault="009F2992" w:rsidP="00CB7E4B">
            <w:pPr>
              <w:rPr>
                <w:rFonts w:ascii="Arial" w:hAnsi="Arial" w:cs="Arial"/>
              </w:rPr>
            </w:pPr>
            <w:r w:rsidRPr="009F2992">
              <w:rPr>
                <w:rFonts w:ascii="Arial" w:hAnsi="Arial" w:cs="Arial"/>
              </w:rPr>
              <w:t>Howard Community Academy Redevelopment</w:t>
            </w:r>
          </w:p>
        </w:tc>
        <w:tc>
          <w:tcPr>
            <w:tcW w:w="4819" w:type="dxa"/>
          </w:tcPr>
          <w:p w14:paraId="06DE6F81" w14:textId="77777777" w:rsidR="009F2992" w:rsidRPr="009F2992" w:rsidRDefault="009F2992" w:rsidP="00CB7E4B">
            <w:pPr>
              <w:rPr>
                <w:rFonts w:ascii="Arial" w:hAnsi="Arial" w:cs="Arial"/>
              </w:rPr>
            </w:pPr>
            <w:r w:rsidRPr="009F2992">
              <w:rPr>
                <w:rFonts w:ascii="Arial" w:hAnsi="Arial" w:cs="Arial"/>
              </w:rPr>
              <w:t>Develop scheme and consider funding options for decarbonisation elements in the event PSDS application not successful</w:t>
            </w:r>
          </w:p>
        </w:tc>
        <w:tc>
          <w:tcPr>
            <w:tcW w:w="1650" w:type="dxa"/>
          </w:tcPr>
          <w:p w14:paraId="1E685340" w14:textId="77777777" w:rsidR="009F2992" w:rsidRPr="009F2992" w:rsidRDefault="009F2992" w:rsidP="00CB7E4B">
            <w:pPr>
              <w:rPr>
                <w:rFonts w:ascii="Arial" w:hAnsi="Arial" w:cs="Arial"/>
              </w:rPr>
            </w:pPr>
            <w:r w:rsidRPr="009F2992">
              <w:rPr>
                <w:rFonts w:ascii="Arial" w:hAnsi="Arial" w:cs="Arial"/>
              </w:rPr>
              <w:t>COO/Director of Operations</w:t>
            </w:r>
          </w:p>
        </w:tc>
      </w:tr>
      <w:tr w:rsidR="009F2992" w14:paraId="480A2EBA" w14:textId="77777777" w:rsidTr="009F2992">
        <w:tc>
          <w:tcPr>
            <w:tcW w:w="2410" w:type="dxa"/>
          </w:tcPr>
          <w:p w14:paraId="1467D2FE" w14:textId="77777777" w:rsidR="009F2992" w:rsidRPr="009F2992" w:rsidRDefault="009F2992" w:rsidP="00CB7E4B">
            <w:pPr>
              <w:rPr>
                <w:rFonts w:ascii="Arial" w:hAnsi="Arial" w:cs="Arial"/>
              </w:rPr>
            </w:pPr>
            <w:r w:rsidRPr="009F2992">
              <w:rPr>
                <w:rFonts w:ascii="Arial" w:hAnsi="Arial" w:cs="Arial"/>
              </w:rPr>
              <w:t>New primary school at Waterbeach</w:t>
            </w:r>
          </w:p>
        </w:tc>
        <w:tc>
          <w:tcPr>
            <w:tcW w:w="4819" w:type="dxa"/>
          </w:tcPr>
          <w:p w14:paraId="6E162666" w14:textId="77777777" w:rsidR="009F2992" w:rsidRPr="009F2992" w:rsidRDefault="009F2992" w:rsidP="00CB7E4B">
            <w:pPr>
              <w:rPr>
                <w:rFonts w:ascii="Arial" w:hAnsi="Arial" w:cs="Arial"/>
              </w:rPr>
            </w:pPr>
            <w:r w:rsidRPr="009F2992">
              <w:rPr>
                <w:rFonts w:ascii="Arial" w:hAnsi="Arial" w:cs="Arial"/>
              </w:rPr>
              <w:t>Ensure that design focuses on reducing consumption</w:t>
            </w:r>
          </w:p>
        </w:tc>
        <w:tc>
          <w:tcPr>
            <w:tcW w:w="1650" w:type="dxa"/>
          </w:tcPr>
          <w:p w14:paraId="62CC05DF" w14:textId="77777777" w:rsidR="009F2992" w:rsidRPr="009F2992" w:rsidRDefault="009F2992" w:rsidP="00CB7E4B">
            <w:pPr>
              <w:rPr>
                <w:rFonts w:ascii="Arial" w:hAnsi="Arial" w:cs="Arial"/>
              </w:rPr>
            </w:pPr>
            <w:r w:rsidRPr="009F2992">
              <w:rPr>
                <w:rFonts w:ascii="Arial" w:hAnsi="Arial" w:cs="Arial"/>
              </w:rPr>
              <w:t>Executive Primary Headteacher</w:t>
            </w:r>
          </w:p>
        </w:tc>
      </w:tr>
      <w:tr w:rsidR="009F2992" w14:paraId="6AD8FABC" w14:textId="77777777" w:rsidTr="009F2992">
        <w:tc>
          <w:tcPr>
            <w:tcW w:w="8879" w:type="dxa"/>
            <w:gridSpan w:val="3"/>
          </w:tcPr>
          <w:p w14:paraId="49AF72EE" w14:textId="77777777" w:rsidR="009F2992" w:rsidRPr="009F2992" w:rsidRDefault="009F2992" w:rsidP="00CB7E4B">
            <w:pPr>
              <w:rPr>
                <w:rFonts w:ascii="Arial" w:hAnsi="Arial" w:cs="Arial"/>
                <w:i/>
                <w:iCs/>
              </w:rPr>
            </w:pPr>
            <w:r w:rsidRPr="009F2992">
              <w:rPr>
                <w:rFonts w:ascii="Arial" w:hAnsi="Arial" w:cs="Arial"/>
                <w:i/>
                <w:iCs/>
              </w:rPr>
              <w:t>Generating Energy</w:t>
            </w:r>
          </w:p>
        </w:tc>
      </w:tr>
      <w:tr w:rsidR="009F2992" w14:paraId="17BB7DD1" w14:textId="77777777" w:rsidTr="009F2992">
        <w:tc>
          <w:tcPr>
            <w:tcW w:w="2410" w:type="dxa"/>
          </w:tcPr>
          <w:p w14:paraId="2117FC2E" w14:textId="77777777" w:rsidR="009F2992" w:rsidRPr="009F2992" w:rsidRDefault="009F2992" w:rsidP="00CB7E4B">
            <w:pPr>
              <w:rPr>
                <w:rFonts w:ascii="Arial" w:hAnsi="Arial" w:cs="Arial"/>
              </w:rPr>
            </w:pPr>
            <w:r w:rsidRPr="009F2992">
              <w:rPr>
                <w:rFonts w:ascii="Arial" w:hAnsi="Arial" w:cs="Arial"/>
              </w:rPr>
              <w:t>Existing installations</w:t>
            </w:r>
          </w:p>
        </w:tc>
        <w:tc>
          <w:tcPr>
            <w:tcW w:w="4819" w:type="dxa"/>
          </w:tcPr>
          <w:p w14:paraId="30322A2F" w14:textId="77777777" w:rsidR="009F2992" w:rsidRPr="009F2992" w:rsidRDefault="009F2992" w:rsidP="00CB7E4B">
            <w:pPr>
              <w:rPr>
                <w:rFonts w:ascii="Arial" w:hAnsi="Arial" w:cs="Arial"/>
              </w:rPr>
            </w:pPr>
            <w:r w:rsidRPr="009F2992">
              <w:rPr>
                <w:rFonts w:ascii="Arial" w:hAnsi="Arial" w:cs="Arial"/>
              </w:rPr>
              <w:t>Ensure that all existing installations are operational and effectively maintained</w:t>
            </w:r>
          </w:p>
        </w:tc>
        <w:tc>
          <w:tcPr>
            <w:tcW w:w="1650" w:type="dxa"/>
          </w:tcPr>
          <w:p w14:paraId="0F890CC4" w14:textId="77777777" w:rsidR="009F2992" w:rsidRPr="009F2992" w:rsidRDefault="009F2992" w:rsidP="00CB7E4B">
            <w:pPr>
              <w:rPr>
                <w:rFonts w:ascii="Arial" w:hAnsi="Arial" w:cs="Arial"/>
              </w:rPr>
            </w:pPr>
            <w:r w:rsidRPr="009F2992">
              <w:rPr>
                <w:rFonts w:ascii="Arial" w:hAnsi="Arial" w:cs="Arial"/>
              </w:rPr>
              <w:t>Director of Operations</w:t>
            </w:r>
          </w:p>
        </w:tc>
      </w:tr>
      <w:tr w:rsidR="009F2992" w14:paraId="218B9D4B" w14:textId="77777777" w:rsidTr="009F2992">
        <w:tc>
          <w:tcPr>
            <w:tcW w:w="2410" w:type="dxa"/>
          </w:tcPr>
          <w:p w14:paraId="0ED680C3" w14:textId="77777777" w:rsidR="009F2992" w:rsidRPr="009F2992" w:rsidRDefault="009F2992" w:rsidP="00CB7E4B">
            <w:pPr>
              <w:rPr>
                <w:rFonts w:ascii="Arial" w:hAnsi="Arial" w:cs="Arial"/>
              </w:rPr>
            </w:pPr>
            <w:r w:rsidRPr="009F2992">
              <w:rPr>
                <w:rFonts w:ascii="Arial" w:hAnsi="Arial" w:cs="Arial"/>
              </w:rPr>
              <w:t>Create plan for further PV installation, ideally by autumn 2023</w:t>
            </w:r>
          </w:p>
        </w:tc>
        <w:tc>
          <w:tcPr>
            <w:tcW w:w="4819" w:type="dxa"/>
          </w:tcPr>
          <w:p w14:paraId="56167767" w14:textId="77777777" w:rsidR="009F2992" w:rsidRPr="009F2992" w:rsidRDefault="009F2992" w:rsidP="00CB7E4B">
            <w:pPr>
              <w:rPr>
                <w:rFonts w:ascii="Arial" w:hAnsi="Arial" w:cs="Arial"/>
              </w:rPr>
            </w:pPr>
            <w:r w:rsidRPr="009F2992">
              <w:rPr>
                <w:rFonts w:ascii="Arial" w:hAnsi="Arial" w:cs="Arial"/>
              </w:rPr>
              <w:t>Complete review of available capital funding and present options paper comparing power purchase options with capital purchase outright</w:t>
            </w:r>
          </w:p>
        </w:tc>
        <w:tc>
          <w:tcPr>
            <w:tcW w:w="1650" w:type="dxa"/>
          </w:tcPr>
          <w:p w14:paraId="36EF9DF5" w14:textId="77777777" w:rsidR="009F2992" w:rsidRPr="009F2992" w:rsidRDefault="009F2992" w:rsidP="00CB7E4B">
            <w:pPr>
              <w:rPr>
                <w:rFonts w:ascii="Arial" w:hAnsi="Arial" w:cs="Arial"/>
              </w:rPr>
            </w:pPr>
            <w:r w:rsidRPr="009F2992">
              <w:rPr>
                <w:rFonts w:ascii="Arial" w:hAnsi="Arial" w:cs="Arial"/>
              </w:rPr>
              <w:t>COO</w:t>
            </w:r>
          </w:p>
        </w:tc>
      </w:tr>
      <w:tr w:rsidR="009F2992" w14:paraId="46198304" w14:textId="77777777" w:rsidTr="009F2992">
        <w:tc>
          <w:tcPr>
            <w:tcW w:w="2410" w:type="dxa"/>
          </w:tcPr>
          <w:p w14:paraId="041DFF32" w14:textId="77777777" w:rsidR="009F2992" w:rsidRPr="009F2992" w:rsidRDefault="009F2992" w:rsidP="00CB7E4B">
            <w:pPr>
              <w:rPr>
                <w:rFonts w:ascii="Arial" w:hAnsi="Arial" w:cs="Arial"/>
              </w:rPr>
            </w:pPr>
            <w:r w:rsidRPr="009F2992">
              <w:rPr>
                <w:rFonts w:ascii="Arial" w:hAnsi="Arial" w:cs="Arial"/>
              </w:rPr>
              <w:t>New primary school at Waterbeach</w:t>
            </w:r>
          </w:p>
        </w:tc>
        <w:tc>
          <w:tcPr>
            <w:tcW w:w="4819" w:type="dxa"/>
          </w:tcPr>
          <w:p w14:paraId="0DD3D671" w14:textId="77777777" w:rsidR="009F2992" w:rsidRPr="009F2992" w:rsidRDefault="009F2992" w:rsidP="00CB7E4B">
            <w:pPr>
              <w:rPr>
                <w:rFonts w:ascii="Arial" w:hAnsi="Arial" w:cs="Arial"/>
              </w:rPr>
            </w:pPr>
            <w:r w:rsidRPr="009F2992">
              <w:rPr>
                <w:rFonts w:ascii="Arial" w:hAnsi="Arial" w:cs="Arial"/>
              </w:rPr>
              <w:t>Ensure that design includes appropriate self-generation</w:t>
            </w:r>
          </w:p>
        </w:tc>
        <w:tc>
          <w:tcPr>
            <w:tcW w:w="1650" w:type="dxa"/>
          </w:tcPr>
          <w:p w14:paraId="12D66626" w14:textId="77777777" w:rsidR="009F2992" w:rsidRPr="009F2992" w:rsidRDefault="009F2992" w:rsidP="00CB7E4B">
            <w:pPr>
              <w:rPr>
                <w:rFonts w:ascii="Arial" w:hAnsi="Arial" w:cs="Arial"/>
              </w:rPr>
            </w:pPr>
            <w:r w:rsidRPr="009F2992">
              <w:rPr>
                <w:rFonts w:ascii="Arial" w:hAnsi="Arial" w:cs="Arial"/>
              </w:rPr>
              <w:t>Executive Primary Headteacher</w:t>
            </w:r>
          </w:p>
        </w:tc>
      </w:tr>
      <w:tr w:rsidR="009F2992" w14:paraId="556E0FF8" w14:textId="77777777" w:rsidTr="009F2992">
        <w:tc>
          <w:tcPr>
            <w:tcW w:w="2410" w:type="dxa"/>
          </w:tcPr>
          <w:p w14:paraId="5BC407AB" w14:textId="77777777" w:rsidR="009F2992" w:rsidRPr="009F2992" w:rsidRDefault="009F2992" w:rsidP="00CB7E4B">
            <w:pPr>
              <w:rPr>
                <w:rFonts w:ascii="Arial" w:hAnsi="Arial" w:cs="Arial"/>
              </w:rPr>
            </w:pPr>
            <w:r w:rsidRPr="009F2992">
              <w:rPr>
                <w:rFonts w:ascii="Arial" w:hAnsi="Arial" w:cs="Arial"/>
              </w:rPr>
              <w:t>Sawston Village College DfE project</w:t>
            </w:r>
          </w:p>
        </w:tc>
        <w:tc>
          <w:tcPr>
            <w:tcW w:w="4819" w:type="dxa"/>
          </w:tcPr>
          <w:p w14:paraId="0A671573" w14:textId="77777777" w:rsidR="009F2992" w:rsidRPr="009F2992" w:rsidRDefault="009F2992" w:rsidP="00CB7E4B">
            <w:pPr>
              <w:rPr>
                <w:rFonts w:ascii="Arial" w:hAnsi="Arial" w:cs="Arial"/>
              </w:rPr>
            </w:pPr>
            <w:r w:rsidRPr="009F2992">
              <w:rPr>
                <w:rFonts w:ascii="Arial" w:hAnsi="Arial" w:cs="Arial"/>
              </w:rPr>
              <w:t>Ensure design incudes appropriate self-generation</w:t>
            </w:r>
          </w:p>
        </w:tc>
        <w:tc>
          <w:tcPr>
            <w:tcW w:w="1650" w:type="dxa"/>
          </w:tcPr>
          <w:p w14:paraId="2FAE8697" w14:textId="77777777" w:rsidR="009F2992" w:rsidRPr="009F2992" w:rsidRDefault="009F2992" w:rsidP="00CB7E4B">
            <w:pPr>
              <w:rPr>
                <w:rFonts w:ascii="Arial" w:hAnsi="Arial" w:cs="Arial"/>
              </w:rPr>
            </w:pPr>
            <w:r w:rsidRPr="009F2992">
              <w:rPr>
                <w:rFonts w:ascii="Arial" w:hAnsi="Arial" w:cs="Arial"/>
              </w:rPr>
              <w:t>Director of Operations</w:t>
            </w:r>
          </w:p>
        </w:tc>
      </w:tr>
      <w:tr w:rsidR="009F2992" w14:paraId="6D676AB6" w14:textId="77777777" w:rsidTr="009F2992">
        <w:tc>
          <w:tcPr>
            <w:tcW w:w="8879" w:type="dxa"/>
            <w:gridSpan w:val="3"/>
          </w:tcPr>
          <w:p w14:paraId="7A677103" w14:textId="77777777" w:rsidR="009F2992" w:rsidRPr="009F2992" w:rsidRDefault="009F2992" w:rsidP="00CB7E4B">
            <w:pPr>
              <w:rPr>
                <w:rFonts w:ascii="Arial" w:hAnsi="Arial" w:cs="Arial"/>
                <w:i/>
                <w:iCs/>
              </w:rPr>
            </w:pPr>
            <w:r w:rsidRPr="009F2992">
              <w:rPr>
                <w:rFonts w:ascii="Arial" w:hAnsi="Arial" w:cs="Arial"/>
                <w:i/>
                <w:iCs/>
              </w:rPr>
              <w:t>Embedding Behavioural Change</w:t>
            </w:r>
          </w:p>
        </w:tc>
      </w:tr>
      <w:tr w:rsidR="009F2992" w14:paraId="49F2A8C0" w14:textId="77777777" w:rsidTr="009F2992">
        <w:tc>
          <w:tcPr>
            <w:tcW w:w="2410" w:type="dxa"/>
          </w:tcPr>
          <w:p w14:paraId="3375B43D" w14:textId="77777777" w:rsidR="009F2992" w:rsidRPr="009F2992" w:rsidRDefault="009F2992" w:rsidP="00CB7E4B">
            <w:pPr>
              <w:rPr>
                <w:rFonts w:ascii="Arial" w:hAnsi="Arial" w:cs="Arial"/>
              </w:rPr>
            </w:pPr>
            <w:r w:rsidRPr="009F2992">
              <w:rPr>
                <w:rFonts w:ascii="Arial" w:hAnsi="Arial" w:cs="Arial"/>
              </w:rPr>
              <w:t>EnergySparks</w:t>
            </w:r>
          </w:p>
        </w:tc>
        <w:tc>
          <w:tcPr>
            <w:tcW w:w="4819" w:type="dxa"/>
          </w:tcPr>
          <w:p w14:paraId="45906632" w14:textId="77777777" w:rsidR="009F2992" w:rsidRPr="009F2992" w:rsidRDefault="009F2992" w:rsidP="00CB7E4B">
            <w:pPr>
              <w:rPr>
                <w:rFonts w:ascii="Arial" w:hAnsi="Arial" w:cs="Arial"/>
              </w:rPr>
            </w:pPr>
            <w:r w:rsidRPr="009F2992">
              <w:rPr>
                <w:rFonts w:ascii="Arial" w:hAnsi="Arial" w:cs="Arial"/>
              </w:rPr>
              <w:t>Embed EnergySparks programme in schools, engaging pupils and measuring progress</w:t>
            </w:r>
          </w:p>
        </w:tc>
        <w:tc>
          <w:tcPr>
            <w:tcW w:w="1650" w:type="dxa"/>
          </w:tcPr>
          <w:p w14:paraId="4FAD646E" w14:textId="77777777" w:rsidR="009F2992" w:rsidRPr="009F2992" w:rsidRDefault="009F2992" w:rsidP="00CB7E4B">
            <w:pPr>
              <w:rPr>
                <w:rFonts w:ascii="Arial" w:hAnsi="Arial" w:cs="Arial"/>
              </w:rPr>
            </w:pPr>
            <w:r w:rsidRPr="009F2992">
              <w:rPr>
                <w:rFonts w:ascii="Arial" w:hAnsi="Arial" w:cs="Arial"/>
              </w:rPr>
              <w:t>Director of Operations</w:t>
            </w:r>
          </w:p>
        </w:tc>
      </w:tr>
      <w:tr w:rsidR="009F2992" w14:paraId="1D1982C5" w14:textId="77777777" w:rsidTr="009F2992">
        <w:tc>
          <w:tcPr>
            <w:tcW w:w="2410" w:type="dxa"/>
          </w:tcPr>
          <w:p w14:paraId="7D40B0F4" w14:textId="77777777" w:rsidR="009F2992" w:rsidRPr="009F2992" w:rsidRDefault="009F2992" w:rsidP="00CB7E4B">
            <w:pPr>
              <w:rPr>
                <w:rFonts w:ascii="Arial" w:hAnsi="Arial" w:cs="Arial"/>
              </w:rPr>
            </w:pPr>
            <w:r w:rsidRPr="009F2992">
              <w:rPr>
                <w:rFonts w:ascii="Arial" w:hAnsi="Arial" w:cs="Arial"/>
              </w:rPr>
              <w:lastRenderedPageBreak/>
              <w:t>Quick wins</w:t>
            </w:r>
          </w:p>
        </w:tc>
        <w:tc>
          <w:tcPr>
            <w:tcW w:w="4819" w:type="dxa"/>
          </w:tcPr>
          <w:p w14:paraId="35D16D5D" w14:textId="77777777" w:rsidR="009F2992" w:rsidRPr="009F2992" w:rsidRDefault="009F2992" w:rsidP="00CB7E4B">
            <w:pPr>
              <w:rPr>
                <w:rFonts w:ascii="Arial" w:hAnsi="Arial" w:cs="Arial"/>
              </w:rPr>
            </w:pPr>
            <w:r w:rsidRPr="009F2992">
              <w:rPr>
                <w:rFonts w:ascii="Arial" w:hAnsi="Arial" w:cs="Arial"/>
              </w:rPr>
              <w:t>Support schools with guidance on ‘quick wins’</w:t>
            </w:r>
          </w:p>
        </w:tc>
        <w:tc>
          <w:tcPr>
            <w:tcW w:w="1650" w:type="dxa"/>
          </w:tcPr>
          <w:p w14:paraId="3E5D51D7" w14:textId="77777777" w:rsidR="009F2992" w:rsidRPr="009F2992" w:rsidRDefault="009F2992" w:rsidP="00CB7E4B">
            <w:pPr>
              <w:rPr>
                <w:rFonts w:ascii="Arial" w:hAnsi="Arial" w:cs="Arial"/>
              </w:rPr>
            </w:pPr>
            <w:r w:rsidRPr="009F2992">
              <w:rPr>
                <w:rFonts w:ascii="Arial" w:hAnsi="Arial" w:cs="Arial"/>
              </w:rPr>
              <w:t>Director of Operations/Trust Marketing Team</w:t>
            </w:r>
          </w:p>
        </w:tc>
      </w:tr>
      <w:tr w:rsidR="009F2992" w14:paraId="7D833815" w14:textId="77777777" w:rsidTr="009F2992">
        <w:tc>
          <w:tcPr>
            <w:tcW w:w="2410" w:type="dxa"/>
          </w:tcPr>
          <w:p w14:paraId="76BA74FD" w14:textId="77777777" w:rsidR="009F2992" w:rsidRPr="009F2992" w:rsidRDefault="009F2992" w:rsidP="00CB7E4B">
            <w:pPr>
              <w:rPr>
                <w:rFonts w:ascii="Arial" w:hAnsi="Arial" w:cs="Arial"/>
              </w:rPr>
            </w:pPr>
            <w:r w:rsidRPr="009F2992">
              <w:rPr>
                <w:rFonts w:ascii="Arial" w:hAnsi="Arial" w:cs="Arial"/>
              </w:rPr>
              <w:t>Use of Connect</w:t>
            </w:r>
          </w:p>
        </w:tc>
        <w:tc>
          <w:tcPr>
            <w:tcW w:w="4819" w:type="dxa"/>
          </w:tcPr>
          <w:p w14:paraId="6A26FB4E" w14:textId="77777777" w:rsidR="009F2992" w:rsidRPr="009F2992" w:rsidRDefault="009F2992" w:rsidP="00CB7E4B">
            <w:pPr>
              <w:rPr>
                <w:rFonts w:ascii="Arial" w:hAnsi="Arial" w:cs="Arial"/>
              </w:rPr>
            </w:pPr>
            <w:r w:rsidRPr="009F2992">
              <w:rPr>
                <w:rFonts w:ascii="Arial" w:hAnsi="Arial" w:cs="Arial"/>
              </w:rPr>
              <w:t>Consider use of Connect/social media to drive change and healthy competition between schools</w:t>
            </w:r>
          </w:p>
        </w:tc>
        <w:tc>
          <w:tcPr>
            <w:tcW w:w="1650" w:type="dxa"/>
          </w:tcPr>
          <w:p w14:paraId="7483C0AA" w14:textId="77777777" w:rsidR="009F2992" w:rsidRPr="009F2992" w:rsidRDefault="009F2992" w:rsidP="00CB7E4B">
            <w:pPr>
              <w:rPr>
                <w:rFonts w:ascii="Arial" w:hAnsi="Arial" w:cs="Arial"/>
              </w:rPr>
            </w:pPr>
            <w:r w:rsidRPr="009F2992">
              <w:rPr>
                <w:rFonts w:ascii="Arial" w:hAnsi="Arial" w:cs="Arial"/>
              </w:rPr>
              <w:t>Central Leadership Team</w:t>
            </w:r>
          </w:p>
        </w:tc>
      </w:tr>
    </w:tbl>
    <w:p w14:paraId="4B7538D2" w14:textId="77777777" w:rsidR="009F2992" w:rsidRPr="00653AB4" w:rsidRDefault="009F2992" w:rsidP="00653AB4"/>
    <w:sectPr w:rsidR="009F2992" w:rsidRPr="00653AB4" w:rsidSect="003B2BBC">
      <w:pgSz w:w="11906" w:h="16838"/>
      <w:pgMar w:top="1440" w:right="1440" w:bottom="1440" w:left="1440"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EAD73" w14:textId="77777777" w:rsidR="004E3DFB" w:rsidRDefault="004E3DFB" w:rsidP="00115278">
      <w:pPr>
        <w:spacing w:after="0" w:line="240" w:lineRule="auto"/>
      </w:pPr>
      <w:r>
        <w:separator/>
      </w:r>
    </w:p>
  </w:endnote>
  <w:endnote w:type="continuationSeparator" w:id="0">
    <w:p w14:paraId="3895AD92" w14:textId="77777777" w:rsidR="004E3DFB" w:rsidRDefault="004E3DFB" w:rsidP="00115278">
      <w:pPr>
        <w:spacing w:after="0" w:line="240" w:lineRule="auto"/>
      </w:pPr>
      <w:r>
        <w:continuationSeparator/>
      </w:r>
    </w:p>
  </w:endnote>
  <w:endnote w:type="continuationNotice" w:id="1">
    <w:p w14:paraId="1E418073" w14:textId="77777777" w:rsidR="004E3DFB" w:rsidRDefault="004E3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auto"/>
    <w:pitch w:val="variable"/>
    <w:sig w:usb0="03000000"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C168C" w14:textId="236F3E95" w:rsidR="00D82B09" w:rsidRDefault="00D82B09" w:rsidP="00115278">
    <w:pPr>
      <w:pStyle w:val="Normal1"/>
      <w:spacing w:line="240" w:lineRule="auto"/>
      <w:contextualSpacing w:val="0"/>
      <w:rPr>
        <w:sz w:val="20"/>
        <w:szCs w:val="20"/>
        <w:lang w:val="en-GB"/>
      </w:rPr>
    </w:pPr>
    <w:r>
      <w:rPr>
        <w:sz w:val="20"/>
        <w:szCs w:val="20"/>
      </w:rPr>
      <w:t xml:space="preserve">Version </w:t>
    </w:r>
    <w:r w:rsidR="00C26B63">
      <w:rPr>
        <w:sz w:val="20"/>
        <w:szCs w:val="20"/>
        <w:lang w:val="en-GB"/>
      </w:rPr>
      <w:t>1.0</w:t>
    </w:r>
  </w:p>
  <w:p w14:paraId="1B79AE10" w14:textId="76ECFA0C" w:rsidR="00D82B09" w:rsidRDefault="00034139" w:rsidP="00115278">
    <w:pPr>
      <w:pStyle w:val="Normal1"/>
      <w:spacing w:line="240" w:lineRule="auto"/>
      <w:contextualSpacing w:val="0"/>
      <w:rPr>
        <w:sz w:val="20"/>
        <w:szCs w:val="20"/>
      </w:rPr>
    </w:pPr>
    <w:r>
      <w:rPr>
        <w:sz w:val="20"/>
        <w:szCs w:val="20"/>
        <w:lang w:val="en-GB"/>
      </w:rPr>
      <w:t>Energy Strategy</w:t>
    </w:r>
    <w:r w:rsidR="00D82B09">
      <w:rPr>
        <w:sz w:val="20"/>
        <w:szCs w:val="20"/>
      </w:rPr>
      <w:tab/>
    </w:r>
    <w:r w:rsidR="00D82B09">
      <w:rPr>
        <w:sz w:val="20"/>
        <w:szCs w:val="20"/>
      </w:rPr>
      <w:tab/>
    </w:r>
    <w:r w:rsidR="00D82B09">
      <w:rPr>
        <w:sz w:val="20"/>
        <w:szCs w:val="20"/>
      </w:rPr>
      <w:tab/>
    </w:r>
    <w:r w:rsidR="00D82B09">
      <w:rPr>
        <w:sz w:val="20"/>
        <w:szCs w:val="20"/>
      </w:rPr>
      <w:tab/>
    </w:r>
    <w:r w:rsidR="00D82B09">
      <w:rPr>
        <w:sz w:val="20"/>
        <w:szCs w:val="20"/>
      </w:rPr>
      <w:tab/>
    </w:r>
    <w:r w:rsidR="00D82B09">
      <w:rPr>
        <w:sz w:val="20"/>
        <w:szCs w:val="20"/>
      </w:rPr>
      <w:tab/>
    </w:r>
    <w:r w:rsidR="00D82B09">
      <w:rPr>
        <w:sz w:val="20"/>
        <w:szCs w:val="20"/>
      </w:rPr>
      <w:tab/>
    </w:r>
    <w:r w:rsidR="00D82B09">
      <w:rPr>
        <w:sz w:val="20"/>
        <w:szCs w:val="20"/>
      </w:rPr>
      <w:tab/>
    </w:r>
  </w:p>
  <w:p w14:paraId="26174DF1" w14:textId="0ECFF93D" w:rsidR="00D82B09" w:rsidRPr="00115278" w:rsidRDefault="00034139" w:rsidP="00115278">
    <w:pPr>
      <w:pStyle w:val="Footer"/>
      <w:rPr>
        <w:rFonts w:ascii="Arial" w:hAnsi="Arial" w:cs="Arial"/>
        <w:sz w:val="20"/>
        <w:szCs w:val="20"/>
      </w:rPr>
    </w:pPr>
    <w:r>
      <w:rPr>
        <w:rFonts w:ascii="Arial" w:hAnsi="Arial" w:cs="Arial"/>
        <w:sz w:val="20"/>
        <w:szCs w:val="20"/>
      </w:rPr>
      <w:t>September 2022</w:t>
    </w:r>
    <w:r w:rsidR="00D82B09">
      <w:rPr>
        <w:rFonts w:ascii="Arial" w:hAnsi="Arial" w:cs="Arial"/>
        <w:sz w:val="20"/>
        <w:szCs w:val="20"/>
      </w:rPr>
      <w:tab/>
    </w:r>
    <w:r w:rsidR="00D82B09">
      <w:rPr>
        <w:sz w:val="20"/>
        <w:szCs w:val="20"/>
      </w:rPr>
      <w:tab/>
    </w:r>
    <w:r w:rsidR="00D82B09" w:rsidRPr="00634C93">
      <w:rPr>
        <w:rFonts w:ascii="Arial" w:hAnsi="Arial" w:cs="Arial"/>
        <w:sz w:val="20"/>
        <w:szCs w:val="20"/>
      </w:rPr>
      <w:fldChar w:fldCharType="begin"/>
    </w:r>
    <w:r w:rsidR="00D82B09" w:rsidRPr="00634C93">
      <w:rPr>
        <w:rFonts w:ascii="Arial" w:hAnsi="Arial" w:cs="Arial"/>
        <w:sz w:val="20"/>
        <w:szCs w:val="20"/>
      </w:rPr>
      <w:instrText>PAGE</w:instrText>
    </w:r>
    <w:r w:rsidR="00D82B09" w:rsidRPr="00634C93">
      <w:rPr>
        <w:rFonts w:ascii="Arial" w:hAnsi="Arial" w:cs="Arial"/>
        <w:sz w:val="20"/>
        <w:szCs w:val="20"/>
      </w:rPr>
      <w:fldChar w:fldCharType="separate"/>
    </w:r>
    <w:r w:rsidR="004A3FB1">
      <w:rPr>
        <w:rFonts w:ascii="Arial" w:hAnsi="Arial" w:cs="Arial"/>
        <w:noProof/>
        <w:sz w:val="20"/>
        <w:szCs w:val="20"/>
      </w:rPr>
      <w:t>5</w:t>
    </w:r>
    <w:r w:rsidR="00D82B09" w:rsidRPr="00634C93">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0C851" w14:textId="77777777" w:rsidR="0082655F" w:rsidRDefault="0082655F" w:rsidP="0082655F">
    <w:pPr>
      <w:pStyle w:val="Normal1"/>
      <w:spacing w:line="240" w:lineRule="auto"/>
      <w:contextualSpacing w:val="0"/>
      <w:rPr>
        <w:sz w:val="20"/>
        <w:szCs w:val="20"/>
        <w:lang w:val="en-GB"/>
      </w:rPr>
    </w:pPr>
    <w:r>
      <w:rPr>
        <w:sz w:val="20"/>
        <w:szCs w:val="20"/>
      </w:rPr>
      <w:t xml:space="preserve">Version </w:t>
    </w:r>
    <w:r>
      <w:rPr>
        <w:sz w:val="20"/>
        <w:szCs w:val="20"/>
        <w:lang w:val="en-GB"/>
      </w:rPr>
      <w:t>1.0</w:t>
    </w:r>
  </w:p>
  <w:p w14:paraId="1FB1BFA4" w14:textId="7DC21655" w:rsidR="0082655F" w:rsidRDefault="0082655F" w:rsidP="0082655F">
    <w:pPr>
      <w:pStyle w:val="Normal1"/>
      <w:spacing w:line="240" w:lineRule="auto"/>
      <w:contextualSpacing w:val="0"/>
      <w:rPr>
        <w:sz w:val="20"/>
        <w:szCs w:val="20"/>
      </w:rPr>
    </w:pPr>
    <w:r>
      <w:rPr>
        <w:sz w:val="20"/>
        <w:szCs w:val="20"/>
        <w:lang w:val="en-GB"/>
      </w:rPr>
      <w:t>Energy Strategy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8797D">
      <w:rPr>
        <w:sz w:val="20"/>
        <w:szCs w:val="20"/>
      </w:rPr>
      <w:tab/>
    </w:r>
    <w:r w:rsidR="0008797D">
      <w:rPr>
        <w:sz w:val="20"/>
        <w:szCs w:val="20"/>
      </w:rPr>
      <w:tab/>
    </w:r>
    <w:r w:rsidR="0008797D">
      <w:rPr>
        <w:sz w:val="20"/>
        <w:szCs w:val="20"/>
      </w:rPr>
      <w:tab/>
    </w:r>
    <w:r w:rsidR="0008797D">
      <w:rPr>
        <w:sz w:val="20"/>
        <w:szCs w:val="20"/>
      </w:rPr>
      <w:tab/>
    </w:r>
    <w:r w:rsidR="0008797D">
      <w:rPr>
        <w:sz w:val="20"/>
        <w:szCs w:val="20"/>
      </w:rPr>
      <w:tab/>
    </w:r>
    <w:r w:rsidR="0008797D">
      <w:rPr>
        <w:sz w:val="20"/>
        <w:szCs w:val="20"/>
      </w:rPr>
      <w:tab/>
    </w:r>
    <w:r w:rsidR="0008797D">
      <w:rPr>
        <w:sz w:val="20"/>
        <w:szCs w:val="20"/>
      </w:rPr>
      <w:tab/>
    </w:r>
    <w:r w:rsidR="003B2BBC" w:rsidRPr="003B2BBC">
      <w:rPr>
        <w:sz w:val="20"/>
        <w:szCs w:val="20"/>
      </w:rPr>
      <w:fldChar w:fldCharType="begin"/>
    </w:r>
    <w:r w:rsidR="003B2BBC" w:rsidRPr="003B2BBC">
      <w:rPr>
        <w:sz w:val="20"/>
        <w:szCs w:val="20"/>
      </w:rPr>
      <w:instrText xml:space="preserve"> PAGE   \* MERGEFORMAT </w:instrText>
    </w:r>
    <w:r w:rsidR="003B2BBC" w:rsidRPr="003B2BBC">
      <w:rPr>
        <w:sz w:val="20"/>
        <w:szCs w:val="20"/>
      </w:rPr>
      <w:fldChar w:fldCharType="separate"/>
    </w:r>
    <w:r w:rsidR="003B2BBC" w:rsidRPr="003B2BBC">
      <w:rPr>
        <w:noProof/>
        <w:sz w:val="20"/>
        <w:szCs w:val="20"/>
      </w:rPr>
      <w:t>1</w:t>
    </w:r>
    <w:r w:rsidR="003B2BBC" w:rsidRPr="003B2BBC">
      <w:rPr>
        <w:noProof/>
        <w:sz w:val="20"/>
        <w:szCs w:val="20"/>
      </w:rPr>
      <w:fldChar w:fldCharType="end"/>
    </w:r>
  </w:p>
  <w:p w14:paraId="54083FE5" w14:textId="0111C5DB" w:rsidR="0082655F" w:rsidRDefault="0082655F" w:rsidP="0082655F">
    <w:pPr>
      <w:pStyle w:val="Footer"/>
    </w:pPr>
    <w:r>
      <w:rPr>
        <w:rFonts w:ascii="Arial" w:hAnsi="Arial" w:cs="Arial"/>
        <w:sz w:val="20"/>
        <w:szCs w:val="20"/>
      </w:rPr>
      <w:t>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B2D2F" w14:textId="77777777" w:rsidR="004E3DFB" w:rsidRDefault="004E3DFB" w:rsidP="00115278">
      <w:pPr>
        <w:spacing w:after="0" w:line="240" w:lineRule="auto"/>
      </w:pPr>
      <w:r>
        <w:separator/>
      </w:r>
    </w:p>
  </w:footnote>
  <w:footnote w:type="continuationSeparator" w:id="0">
    <w:p w14:paraId="2861F5C9" w14:textId="77777777" w:rsidR="004E3DFB" w:rsidRDefault="004E3DFB" w:rsidP="00115278">
      <w:pPr>
        <w:spacing w:after="0" w:line="240" w:lineRule="auto"/>
      </w:pPr>
      <w:r>
        <w:continuationSeparator/>
      </w:r>
    </w:p>
  </w:footnote>
  <w:footnote w:type="continuationNotice" w:id="1">
    <w:p w14:paraId="29C39CDC" w14:textId="77777777" w:rsidR="004E3DFB" w:rsidRDefault="004E3D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64650"/>
    <w:multiLevelType w:val="hybridMultilevel"/>
    <w:tmpl w:val="55B68C36"/>
    <w:lvl w:ilvl="0" w:tplc="60DC3532">
      <w:start w:val="1"/>
      <w:numFmt w:val="bullet"/>
      <w:lvlText w:val="•"/>
      <w:lvlJc w:val="left"/>
      <w:pPr>
        <w:tabs>
          <w:tab w:val="num" w:pos="720"/>
        </w:tabs>
        <w:ind w:left="720" w:hanging="360"/>
      </w:pPr>
      <w:rPr>
        <w:rFonts w:ascii="Times New Roman" w:hAnsi="Times New Roman" w:hint="default"/>
      </w:rPr>
    </w:lvl>
    <w:lvl w:ilvl="1" w:tplc="0AE0A1F2" w:tentative="1">
      <w:start w:val="1"/>
      <w:numFmt w:val="bullet"/>
      <w:lvlText w:val="•"/>
      <w:lvlJc w:val="left"/>
      <w:pPr>
        <w:tabs>
          <w:tab w:val="num" w:pos="1440"/>
        </w:tabs>
        <w:ind w:left="1440" w:hanging="360"/>
      </w:pPr>
      <w:rPr>
        <w:rFonts w:ascii="Times New Roman" w:hAnsi="Times New Roman" w:hint="default"/>
      </w:rPr>
    </w:lvl>
    <w:lvl w:ilvl="2" w:tplc="72DE249E" w:tentative="1">
      <w:start w:val="1"/>
      <w:numFmt w:val="bullet"/>
      <w:lvlText w:val="•"/>
      <w:lvlJc w:val="left"/>
      <w:pPr>
        <w:tabs>
          <w:tab w:val="num" w:pos="2160"/>
        </w:tabs>
        <w:ind w:left="2160" w:hanging="360"/>
      </w:pPr>
      <w:rPr>
        <w:rFonts w:ascii="Times New Roman" w:hAnsi="Times New Roman" w:hint="default"/>
      </w:rPr>
    </w:lvl>
    <w:lvl w:ilvl="3" w:tplc="4BAED1C2" w:tentative="1">
      <w:start w:val="1"/>
      <w:numFmt w:val="bullet"/>
      <w:lvlText w:val="•"/>
      <w:lvlJc w:val="left"/>
      <w:pPr>
        <w:tabs>
          <w:tab w:val="num" w:pos="2880"/>
        </w:tabs>
        <w:ind w:left="2880" w:hanging="360"/>
      </w:pPr>
      <w:rPr>
        <w:rFonts w:ascii="Times New Roman" w:hAnsi="Times New Roman" w:hint="default"/>
      </w:rPr>
    </w:lvl>
    <w:lvl w:ilvl="4" w:tplc="9466AE62" w:tentative="1">
      <w:start w:val="1"/>
      <w:numFmt w:val="bullet"/>
      <w:lvlText w:val="•"/>
      <w:lvlJc w:val="left"/>
      <w:pPr>
        <w:tabs>
          <w:tab w:val="num" w:pos="3600"/>
        </w:tabs>
        <w:ind w:left="3600" w:hanging="360"/>
      </w:pPr>
      <w:rPr>
        <w:rFonts w:ascii="Times New Roman" w:hAnsi="Times New Roman" w:hint="default"/>
      </w:rPr>
    </w:lvl>
    <w:lvl w:ilvl="5" w:tplc="88AEE14E" w:tentative="1">
      <w:start w:val="1"/>
      <w:numFmt w:val="bullet"/>
      <w:lvlText w:val="•"/>
      <w:lvlJc w:val="left"/>
      <w:pPr>
        <w:tabs>
          <w:tab w:val="num" w:pos="4320"/>
        </w:tabs>
        <w:ind w:left="4320" w:hanging="360"/>
      </w:pPr>
      <w:rPr>
        <w:rFonts w:ascii="Times New Roman" w:hAnsi="Times New Roman" w:hint="default"/>
      </w:rPr>
    </w:lvl>
    <w:lvl w:ilvl="6" w:tplc="F01C12EC" w:tentative="1">
      <w:start w:val="1"/>
      <w:numFmt w:val="bullet"/>
      <w:lvlText w:val="•"/>
      <w:lvlJc w:val="left"/>
      <w:pPr>
        <w:tabs>
          <w:tab w:val="num" w:pos="5040"/>
        </w:tabs>
        <w:ind w:left="5040" w:hanging="360"/>
      </w:pPr>
      <w:rPr>
        <w:rFonts w:ascii="Times New Roman" w:hAnsi="Times New Roman" w:hint="default"/>
      </w:rPr>
    </w:lvl>
    <w:lvl w:ilvl="7" w:tplc="6F408A4E" w:tentative="1">
      <w:start w:val="1"/>
      <w:numFmt w:val="bullet"/>
      <w:lvlText w:val="•"/>
      <w:lvlJc w:val="left"/>
      <w:pPr>
        <w:tabs>
          <w:tab w:val="num" w:pos="5760"/>
        </w:tabs>
        <w:ind w:left="5760" w:hanging="360"/>
      </w:pPr>
      <w:rPr>
        <w:rFonts w:ascii="Times New Roman" w:hAnsi="Times New Roman" w:hint="default"/>
      </w:rPr>
    </w:lvl>
    <w:lvl w:ilvl="8" w:tplc="5F4A101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41939B0"/>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5A458F1"/>
    <w:multiLevelType w:val="hybridMultilevel"/>
    <w:tmpl w:val="AAC85720"/>
    <w:lvl w:ilvl="0" w:tplc="2F6820D4">
      <w:start w:val="1"/>
      <w:numFmt w:val="decimal"/>
      <w:pStyle w:val="Numberedsub-heading"/>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23621C"/>
    <w:multiLevelType w:val="multilevel"/>
    <w:tmpl w:val="16761C30"/>
    <w:styleLink w:val="EnergyStratHeading1"/>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83915404">
    <w:abstractNumId w:val="2"/>
  </w:num>
  <w:num w:numId="2" w16cid:durableId="2081361765">
    <w:abstractNumId w:val="3"/>
  </w:num>
  <w:num w:numId="3" w16cid:durableId="1836215343">
    <w:abstractNumId w:val="1"/>
  </w:num>
  <w:num w:numId="4" w16cid:durableId="1481383356">
    <w:abstractNumId w:val="0"/>
  </w:num>
  <w:num w:numId="5" w16cid:durableId="1197088043">
    <w:abstractNumId w:val="1"/>
  </w:num>
  <w:num w:numId="6" w16cid:durableId="600842079">
    <w:abstractNumId w:val="1"/>
  </w:num>
  <w:num w:numId="7" w16cid:durableId="19984196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29"/>
    <w:rsid w:val="00004AF5"/>
    <w:rsid w:val="000056E4"/>
    <w:rsid w:val="00014535"/>
    <w:rsid w:val="00020B62"/>
    <w:rsid w:val="00021075"/>
    <w:rsid w:val="00024C01"/>
    <w:rsid w:val="0002513B"/>
    <w:rsid w:val="00026C5B"/>
    <w:rsid w:val="00034139"/>
    <w:rsid w:val="00035547"/>
    <w:rsid w:val="000628AF"/>
    <w:rsid w:val="00062DC0"/>
    <w:rsid w:val="00071457"/>
    <w:rsid w:val="00085702"/>
    <w:rsid w:val="00085D7F"/>
    <w:rsid w:val="0008797D"/>
    <w:rsid w:val="00096DB7"/>
    <w:rsid w:val="000978E2"/>
    <w:rsid w:val="000A3A58"/>
    <w:rsid w:val="000A4865"/>
    <w:rsid w:val="000B353A"/>
    <w:rsid w:val="000B4EC9"/>
    <w:rsid w:val="000B7ED9"/>
    <w:rsid w:val="000C39F6"/>
    <w:rsid w:val="000C3E51"/>
    <w:rsid w:val="000D2772"/>
    <w:rsid w:val="000D752B"/>
    <w:rsid w:val="000E0CB3"/>
    <w:rsid w:val="000E182A"/>
    <w:rsid w:val="000E6C04"/>
    <w:rsid w:val="000E7B24"/>
    <w:rsid w:val="000F0B94"/>
    <w:rsid w:val="000F2BBD"/>
    <w:rsid w:val="000F5DAD"/>
    <w:rsid w:val="0010428E"/>
    <w:rsid w:val="00115278"/>
    <w:rsid w:val="00116C3B"/>
    <w:rsid w:val="00125292"/>
    <w:rsid w:val="00132DE1"/>
    <w:rsid w:val="00135D85"/>
    <w:rsid w:val="00144354"/>
    <w:rsid w:val="001514AC"/>
    <w:rsid w:val="00163CE3"/>
    <w:rsid w:val="00165996"/>
    <w:rsid w:val="001677D1"/>
    <w:rsid w:val="00171252"/>
    <w:rsid w:val="001716AA"/>
    <w:rsid w:val="00171B89"/>
    <w:rsid w:val="00180987"/>
    <w:rsid w:val="001905DC"/>
    <w:rsid w:val="001B5BCA"/>
    <w:rsid w:val="001C2644"/>
    <w:rsid w:val="001C4610"/>
    <w:rsid w:val="001C7E62"/>
    <w:rsid w:val="001D3407"/>
    <w:rsid w:val="001D76D9"/>
    <w:rsid w:val="001E0CF5"/>
    <w:rsid w:val="001E2CF5"/>
    <w:rsid w:val="001F2675"/>
    <w:rsid w:val="001F7D81"/>
    <w:rsid w:val="00210BB4"/>
    <w:rsid w:val="00212E01"/>
    <w:rsid w:val="00222FEC"/>
    <w:rsid w:val="00234D51"/>
    <w:rsid w:val="00236B91"/>
    <w:rsid w:val="00240C22"/>
    <w:rsid w:val="002440C0"/>
    <w:rsid w:val="00246280"/>
    <w:rsid w:val="00251288"/>
    <w:rsid w:val="00254E71"/>
    <w:rsid w:val="0025694A"/>
    <w:rsid w:val="00256F14"/>
    <w:rsid w:val="002573D2"/>
    <w:rsid w:val="0026377E"/>
    <w:rsid w:val="00272FF2"/>
    <w:rsid w:val="002733C5"/>
    <w:rsid w:val="00273495"/>
    <w:rsid w:val="00283019"/>
    <w:rsid w:val="0028749F"/>
    <w:rsid w:val="00291866"/>
    <w:rsid w:val="00292367"/>
    <w:rsid w:val="00292D61"/>
    <w:rsid w:val="002967AF"/>
    <w:rsid w:val="002A0F61"/>
    <w:rsid w:val="002A2267"/>
    <w:rsid w:val="002B637F"/>
    <w:rsid w:val="002C13AB"/>
    <w:rsid w:val="002C1B48"/>
    <w:rsid w:val="002C33EB"/>
    <w:rsid w:val="002C618F"/>
    <w:rsid w:val="002E5EA2"/>
    <w:rsid w:val="002F4A3C"/>
    <w:rsid w:val="002F618E"/>
    <w:rsid w:val="002F7186"/>
    <w:rsid w:val="00300EC3"/>
    <w:rsid w:val="00302B73"/>
    <w:rsid w:val="00305DB8"/>
    <w:rsid w:val="00307E0B"/>
    <w:rsid w:val="003116AA"/>
    <w:rsid w:val="00313538"/>
    <w:rsid w:val="00313C4E"/>
    <w:rsid w:val="00317DC8"/>
    <w:rsid w:val="0032371C"/>
    <w:rsid w:val="0032568C"/>
    <w:rsid w:val="003400DE"/>
    <w:rsid w:val="003435B7"/>
    <w:rsid w:val="00355C92"/>
    <w:rsid w:val="00362845"/>
    <w:rsid w:val="00367C16"/>
    <w:rsid w:val="00371BB0"/>
    <w:rsid w:val="0037581E"/>
    <w:rsid w:val="00383430"/>
    <w:rsid w:val="00383603"/>
    <w:rsid w:val="00385C90"/>
    <w:rsid w:val="003A2CB4"/>
    <w:rsid w:val="003A3A14"/>
    <w:rsid w:val="003A41CE"/>
    <w:rsid w:val="003A574D"/>
    <w:rsid w:val="003A68CE"/>
    <w:rsid w:val="003B2BBC"/>
    <w:rsid w:val="003B74A5"/>
    <w:rsid w:val="003B75D6"/>
    <w:rsid w:val="003D3E8D"/>
    <w:rsid w:val="003E0997"/>
    <w:rsid w:val="003E33EC"/>
    <w:rsid w:val="00404790"/>
    <w:rsid w:val="00411999"/>
    <w:rsid w:val="00417E22"/>
    <w:rsid w:val="00423976"/>
    <w:rsid w:val="004360EF"/>
    <w:rsid w:val="004601B0"/>
    <w:rsid w:val="00462E8E"/>
    <w:rsid w:val="00472880"/>
    <w:rsid w:val="0048602E"/>
    <w:rsid w:val="00493001"/>
    <w:rsid w:val="00497B33"/>
    <w:rsid w:val="004A0FBE"/>
    <w:rsid w:val="004A3025"/>
    <w:rsid w:val="004A3215"/>
    <w:rsid w:val="004A3FB1"/>
    <w:rsid w:val="004A6E5B"/>
    <w:rsid w:val="004B30DA"/>
    <w:rsid w:val="004B3A18"/>
    <w:rsid w:val="004B6FCD"/>
    <w:rsid w:val="004C1D79"/>
    <w:rsid w:val="004D0550"/>
    <w:rsid w:val="004D0832"/>
    <w:rsid w:val="004D2367"/>
    <w:rsid w:val="004D6FDB"/>
    <w:rsid w:val="004E2D09"/>
    <w:rsid w:val="004E3DFB"/>
    <w:rsid w:val="004F0D47"/>
    <w:rsid w:val="004F348E"/>
    <w:rsid w:val="004F4C93"/>
    <w:rsid w:val="0050061E"/>
    <w:rsid w:val="00500D58"/>
    <w:rsid w:val="005019D9"/>
    <w:rsid w:val="00504DB0"/>
    <w:rsid w:val="00515C45"/>
    <w:rsid w:val="00544858"/>
    <w:rsid w:val="00550F5F"/>
    <w:rsid w:val="00551871"/>
    <w:rsid w:val="00553960"/>
    <w:rsid w:val="005549FC"/>
    <w:rsid w:val="00560C95"/>
    <w:rsid w:val="00571549"/>
    <w:rsid w:val="00576FB4"/>
    <w:rsid w:val="0058109E"/>
    <w:rsid w:val="005810F6"/>
    <w:rsid w:val="00590A82"/>
    <w:rsid w:val="00590AF5"/>
    <w:rsid w:val="00592C48"/>
    <w:rsid w:val="00592D3C"/>
    <w:rsid w:val="00593529"/>
    <w:rsid w:val="005971F3"/>
    <w:rsid w:val="005A0C43"/>
    <w:rsid w:val="005A0F33"/>
    <w:rsid w:val="005A46DC"/>
    <w:rsid w:val="005B13E1"/>
    <w:rsid w:val="005B3729"/>
    <w:rsid w:val="005B6A87"/>
    <w:rsid w:val="005C141F"/>
    <w:rsid w:val="005C2ECC"/>
    <w:rsid w:val="005D44B2"/>
    <w:rsid w:val="005D5F80"/>
    <w:rsid w:val="005E20CB"/>
    <w:rsid w:val="005F245E"/>
    <w:rsid w:val="005F48ED"/>
    <w:rsid w:val="0060020F"/>
    <w:rsid w:val="006152FA"/>
    <w:rsid w:val="00616F79"/>
    <w:rsid w:val="00622085"/>
    <w:rsid w:val="0063003F"/>
    <w:rsid w:val="00630CBF"/>
    <w:rsid w:val="00631C6E"/>
    <w:rsid w:val="00634C93"/>
    <w:rsid w:val="00635171"/>
    <w:rsid w:val="006376B5"/>
    <w:rsid w:val="00645457"/>
    <w:rsid w:val="0064573A"/>
    <w:rsid w:val="0064724D"/>
    <w:rsid w:val="00653AB4"/>
    <w:rsid w:val="00653C60"/>
    <w:rsid w:val="00654C8B"/>
    <w:rsid w:val="00657574"/>
    <w:rsid w:val="006608E7"/>
    <w:rsid w:val="0066245D"/>
    <w:rsid w:val="0066697F"/>
    <w:rsid w:val="00666D4B"/>
    <w:rsid w:val="00672091"/>
    <w:rsid w:val="00697088"/>
    <w:rsid w:val="006A709B"/>
    <w:rsid w:val="006B1AA1"/>
    <w:rsid w:val="006B3418"/>
    <w:rsid w:val="006C268E"/>
    <w:rsid w:val="006C768D"/>
    <w:rsid w:val="006D07CD"/>
    <w:rsid w:val="006D54F7"/>
    <w:rsid w:val="006E73DA"/>
    <w:rsid w:val="006F5D11"/>
    <w:rsid w:val="006F6A23"/>
    <w:rsid w:val="007065AB"/>
    <w:rsid w:val="00711756"/>
    <w:rsid w:val="00711A72"/>
    <w:rsid w:val="00715297"/>
    <w:rsid w:val="00733939"/>
    <w:rsid w:val="00734F75"/>
    <w:rsid w:val="0073625F"/>
    <w:rsid w:val="00744174"/>
    <w:rsid w:val="00744558"/>
    <w:rsid w:val="00754E79"/>
    <w:rsid w:val="007565E8"/>
    <w:rsid w:val="0076260F"/>
    <w:rsid w:val="007753A3"/>
    <w:rsid w:val="0078407D"/>
    <w:rsid w:val="00791978"/>
    <w:rsid w:val="00797014"/>
    <w:rsid w:val="007977D7"/>
    <w:rsid w:val="007A1C04"/>
    <w:rsid w:val="007A2181"/>
    <w:rsid w:val="007A2AF7"/>
    <w:rsid w:val="007A5918"/>
    <w:rsid w:val="007B10C3"/>
    <w:rsid w:val="007B27F3"/>
    <w:rsid w:val="007C0ABF"/>
    <w:rsid w:val="007D5D17"/>
    <w:rsid w:val="007E7441"/>
    <w:rsid w:val="007E7E86"/>
    <w:rsid w:val="007F0AAC"/>
    <w:rsid w:val="007F0AFB"/>
    <w:rsid w:val="007F17DD"/>
    <w:rsid w:val="00801D11"/>
    <w:rsid w:val="008043A9"/>
    <w:rsid w:val="00804F45"/>
    <w:rsid w:val="00805864"/>
    <w:rsid w:val="00810BF5"/>
    <w:rsid w:val="008137D6"/>
    <w:rsid w:val="0082655F"/>
    <w:rsid w:val="00826725"/>
    <w:rsid w:val="00830BC7"/>
    <w:rsid w:val="00830BCD"/>
    <w:rsid w:val="0083361E"/>
    <w:rsid w:val="00835E59"/>
    <w:rsid w:val="008404B0"/>
    <w:rsid w:val="00842A36"/>
    <w:rsid w:val="008732D8"/>
    <w:rsid w:val="00873F3D"/>
    <w:rsid w:val="008777AA"/>
    <w:rsid w:val="008A0454"/>
    <w:rsid w:val="008A1BC6"/>
    <w:rsid w:val="008A5541"/>
    <w:rsid w:val="008A6E6D"/>
    <w:rsid w:val="008B209E"/>
    <w:rsid w:val="008B3DBD"/>
    <w:rsid w:val="008B425A"/>
    <w:rsid w:val="008C121A"/>
    <w:rsid w:val="008C3275"/>
    <w:rsid w:val="008C3A6B"/>
    <w:rsid w:val="008C452A"/>
    <w:rsid w:val="008C7616"/>
    <w:rsid w:val="008D1E23"/>
    <w:rsid w:val="008E2631"/>
    <w:rsid w:val="008E3D51"/>
    <w:rsid w:val="008E3D5E"/>
    <w:rsid w:val="008E6B5B"/>
    <w:rsid w:val="008F5A9E"/>
    <w:rsid w:val="008F65C1"/>
    <w:rsid w:val="008F7C89"/>
    <w:rsid w:val="00910579"/>
    <w:rsid w:val="00911110"/>
    <w:rsid w:val="00913BB6"/>
    <w:rsid w:val="009315B6"/>
    <w:rsid w:val="009322F4"/>
    <w:rsid w:val="009333BE"/>
    <w:rsid w:val="00934F55"/>
    <w:rsid w:val="009356BC"/>
    <w:rsid w:val="00935C16"/>
    <w:rsid w:val="00937500"/>
    <w:rsid w:val="00947607"/>
    <w:rsid w:val="009532B6"/>
    <w:rsid w:val="00977835"/>
    <w:rsid w:val="00980581"/>
    <w:rsid w:val="009947F5"/>
    <w:rsid w:val="00995DB5"/>
    <w:rsid w:val="009A0518"/>
    <w:rsid w:val="009A1727"/>
    <w:rsid w:val="009B1281"/>
    <w:rsid w:val="009B2A75"/>
    <w:rsid w:val="009B5610"/>
    <w:rsid w:val="009C0846"/>
    <w:rsid w:val="009C3978"/>
    <w:rsid w:val="009C4521"/>
    <w:rsid w:val="009D630A"/>
    <w:rsid w:val="009E21E4"/>
    <w:rsid w:val="009E3CD5"/>
    <w:rsid w:val="009E64F5"/>
    <w:rsid w:val="009F2992"/>
    <w:rsid w:val="009F5A9E"/>
    <w:rsid w:val="009F7118"/>
    <w:rsid w:val="009F7886"/>
    <w:rsid w:val="00A005AF"/>
    <w:rsid w:val="00A01ABF"/>
    <w:rsid w:val="00A027FC"/>
    <w:rsid w:val="00A0364A"/>
    <w:rsid w:val="00A125DE"/>
    <w:rsid w:val="00A12D18"/>
    <w:rsid w:val="00A32A28"/>
    <w:rsid w:val="00A4165D"/>
    <w:rsid w:val="00A42670"/>
    <w:rsid w:val="00A4383E"/>
    <w:rsid w:val="00A45A85"/>
    <w:rsid w:val="00A52014"/>
    <w:rsid w:val="00A54660"/>
    <w:rsid w:val="00A55717"/>
    <w:rsid w:val="00A61F64"/>
    <w:rsid w:val="00A757D5"/>
    <w:rsid w:val="00A75FB6"/>
    <w:rsid w:val="00A77599"/>
    <w:rsid w:val="00A854D1"/>
    <w:rsid w:val="00A87D8F"/>
    <w:rsid w:val="00A92677"/>
    <w:rsid w:val="00A93892"/>
    <w:rsid w:val="00A978D2"/>
    <w:rsid w:val="00A97D33"/>
    <w:rsid w:val="00AA2BF7"/>
    <w:rsid w:val="00AA4210"/>
    <w:rsid w:val="00AA4AAB"/>
    <w:rsid w:val="00AD4703"/>
    <w:rsid w:val="00AE18D4"/>
    <w:rsid w:val="00AF447C"/>
    <w:rsid w:val="00B027B7"/>
    <w:rsid w:val="00B04DA4"/>
    <w:rsid w:val="00B14CDC"/>
    <w:rsid w:val="00B16678"/>
    <w:rsid w:val="00B2152D"/>
    <w:rsid w:val="00B26E59"/>
    <w:rsid w:val="00B35715"/>
    <w:rsid w:val="00B40B44"/>
    <w:rsid w:val="00B4310D"/>
    <w:rsid w:val="00B44FE7"/>
    <w:rsid w:val="00B51D60"/>
    <w:rsid w:val="00B52A03"/>
    <w:rsid w:val="00B53483"/>
    <w:rsid w:val="00B558AE"/>
    <w:rsid w:val="00B6198E"/>
    <w:rsid w:val="00B643B3"/>
    <w:rsid w:val="00B701F0"/>
    <w:rsid w:val="00B855F9"/>
    <w:rsid w:val="00B91FBF"/>
    <w:rsid w:val="00B94DFF"/>
    <w:rsid w:val="00BA1994"/>
    <w:rsid w:val="00BA1E32"/>
    <w:rsid w:val="00BA2F3E"/>
    <w:rsid w:val="00BC12C0"/>
    <w:rsid w:val="00BC5F20"/>
    <w:rsid w:val="00BC62D8"/>
    <w:rsid w:val="00BD052B"/>
    <w:rsid w:val="00BD4FA0"/>
    <w:rsid w:val="00BE0D79"/>
    <w:rsid w:val="00BE5895"/>
    <w:rsid w:val="00BE699F"/>
    <w:rsid w:val="00BF51E0"/>
    <w:rsid w:val="00C05E0B"/>
    <w:rsid w:val="00C148C2"/>
    <w:rsid w:val="00C16343"/>
    <w:rsid w:val="00C225C5"/>
    <w:rsid w:val="00C25DDF"/>
    <w:rsid w:val="00C26B63"/>
    <w:rsid w:val="00C42364"/>
    <w:rsid w:val="00C4573D"/>
    <w:rsid w:val="00C47E46"/>
    <w:rsid w:val="00C54BA0"/>
    <w:rsid w:val="00C559F0"/>
    <w:rsid w:val="00C6167F"/>
    <w:rsid w:val="00C626A7"/>
    <w:rsid w:val="00C71915"/>
    <w:rsid w:val="00C81BAD"/>
    <w:rsid w:val="00C92E24"/>
    <w:rsid w:val="00C97152"/>
    <w:rsid w:val="00CA1A9F"/>
    <w:rsid w:val="00CA3447"/>
    <w:rsid w:val="00CA582F"/>
    <w:rsid w:val="00CB37EA"/>
    <w:rsid w:val="00CB3962"/>
    <w:rsid w:val="00CB3FB4"/>
    <w:rsid w:val="00CB5A7F"/>
    <w:rsid w:val="00CC016F"/>
    <w:rsid w:val="00CC66D9"/>
    <w:rsid w:val="00CC753D"/>
    <w:rsid w:val="00CE7F17"/>
    <w:rsid w:val="00CF27AE"/>
    <w:rsid w:val="00CF322C"/>
    <w:rsid w:val="00D03A70"/>
    <w:rsid w:val="00D07870"/>
    <w:rsid w:val="00D10CCA"/>
    <w:rsid w:val="00D17F3E"/>
    <w:rsid w:val="00D25A1F"/>
    <w:rsid w:val="00D27D89"/>
    <w:rsid w:val="00D314E7"/>
    <w:rsid w:val="00D35C35"/>
    <w:rsid w:val="00D36B02"/>
    <w:rsid w:val="00D45DFE"/>
    <w:rsid w:val="00D5382F"/>
    <w:rsid w:val="00D545FE"/>
    <w:rsid w:val="00D54BF2"/>
    <w:rsid w:val="00D5720D"/>
    <w:rsid w:val="00D5738C"/>
    <w:rsid w:val="00D6004C"/>
    <w:rsid w:val="00D658A8"/>
    <w:rsid w:val="00D732CB"/>
    <w:rsid w:val="00D81F53"/>
    <w:rsid w:val="00D82B09"/>
    <w:rsid w:val="00D85D20"/>
    <w:rsid w:val="00D87849"/>
    <w:rsid w:val="00D930B9"/>
    <w:rsid w:val="00D93DA0"/>
    <w:rsid w:val="00D9542D"/>
    <w:rsid w:val="00DB7D7C"/>
    <w:rsid w:val="00DC0586"/>
    <w:rsid w:val="00DC1F03"/>
    <w:rsid w:val="00DC66FE"/>
    <w:rsid w:val="00DD6505"/>
    <w:rsid w:val="00DE119C"/>
    <w:rsid w:val="00DE3DB0"/>
    <w:rsid w:val="00DE3DCA"/>
    <w:rsid w:val="00DE7E99"/>
    <w:rsid w:val="00DF2C7C"/>
    <w:rsid w:val="00DF5CE0"/>
    <w:rsid w:val="00E2337F"/>
    <w:rsid w:val="00E302D5"/>
    <w:rsid w:val="00E309A8"/>
    <w:rsid w:val="00E3318F"/>
    <w:rsid w:val="00E37510"/>
    <w:rsid w:val="00E43B01"/>
    <w:rsid w:val="00E44D38"/>
    <w:rsid w:val="00E4517D"/>
    <w:rsid w:val="00E468E4"/>
    <w:rsid w:val="00E47968"/>
    <w:rsid w:val="00E50523"/>
    <w:rsid w:val="00E50C0A"/>
    <w:rsid w:val="00E52FA2"/>
    <w:rsid w:val="00E56132"/>
    <w:rsid w:val="00E564D8"/>
    <w:rsid w:val="00E605D0"/>
    <w:rsid w:val="00E63D16"/>
    <w:rsid w:val="00E744DB"/>
    <w:rsid w:val="00EA1C7C"/>
    <w:rsid w:val="00EA50BC"/>
    <w:rsid w:val="00EB075B"/>
    <w:rsid w:val="00EB0F70"/>
    <w:rsid w:val="00EC2F6F"/>
    <w:rsid w:val="00EC3857"/>
    <w:rsid w:val="00EC5380"/>
    <w:rsid w:val="00EC6F6E"/>
    <w:rsid w:val="00ED573D"/>
    <w:rsid w:val="00EE08D8"/>
    <w:rsid w:val="00EE1E71"/>
    <w:rsid w:val="00EE673A"/>
    <w:rsid w:val="00EF0ED3"/>
    <w:rsid w:val="00EF0FEF"/>
    <w:rsid w:val="00EF2CA0"/>
    <w:rsid w:val="00EF5A40"/>
    <w:rsid w:val="00F001C1"/>
    <w:rsid w:val="00F00D99"/>
    <w:rsid w:val="00F01216"/>
    <w:rsid w:val="00F02B96"/>
    <w:rsid w:val="00F10823"/>
    <w:rsid w:val="00F13CBE"/>
    <w:rsid w:val="00F17F6E"/>
    <w:rsid w:val="00F24B08"/>
    <w:rsid w:val="00F43EA6"/>
    <w:rsid w:val="00F45301"/>
    <w:rsid w:val="00F454C0"/>
    <w:rsid w:val="00F54822"/>
    <w:rsid w:val="00F613AE"/>
    <w:rsid w:val="00F62CC4"/>
    <w:rsid w:val="00F63CC7"/>
    <w:rsid w:val="00F64C94"/>
    <w:rsid w:val="00F67222"/>
    <w:rsid w:val="00F7061E"/>
    <w:rsid w:val="00F8483A"/>
    <w:rsid w:val="00F84E94"/>
    <w:rsid w:val="00F914EB"/>
    <w:rsid w:val="00F91E49"/>
    <w:rsid w:val="00F96C0F"/>
    <w:rsid w:val="00FA3403"/>
    <w:rsid w:val="00FA354C"/>
    <w:rsid w:val="00FB2806"/>
    <w:rsid w:val="00FB3371"/>
    <w:rsid w:val="00FB5006"/>
    <w:rsid w:val="00FB6540"/>
    <w:rsid w:val="00FC6C75"/>
    <w:rsid w:val="00FC6C81"/>
    <w:rsid w:val="00FC7FBD"/>
    <w:rsid w:val="00FD1FEA"/>
    <w:rsid w:val="00FD4B6C"/>
    <w:rsid w:val="00FD6F00"/>
    <w:rsid w:val="00FD711F"/>
    <w:rsid w:val="00FE5221"/>
    <w:rsid w:val="00FF0BC6"/>
    <w:rsid w:val="00FF445D"/>
    <w:rsid w:val="00FF6D36"/>
    <w:rsid w:val="3203FE9B"/>
    <w:rsid w:val="4F4972CE"/>
    <w:rsid w:val="6DAA3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ADFC8"/>
  <w15:chartTrackingRefBased/>
  <w15:docId w15:val="{5D83F430-7AB2-4032-9EC7-AAEF5B979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BB6"/>
  </w:style>
  <w:style w:type="paragraph" w:styleId="Heading1">
    <w:name w:val="heading 1"/>
    <w:basedOn w:val="Normal"/>
    <w:next w:val="Normal"/>
    <w:link w:val="Heading1Char"/>
    <w:uiPriority w:val="9"/>
    <w:qFormat/>
    <w:rsid w:val="00715297"/>
    <w:pPr>
      <w:keepNext/>
      <w:keepLines/>
      <w:numPr>
        <w:numId w:val="3"/>
      </w:numPr>
      <w:spacing w:after="200" w:line="240" w:lineRule="auto"/>
      <w:jc w:val="both"/>
      <w:outlineLvl w:val="0"/>
    </w:pPr>
    <w:rPr>
      <w:rFonts w:ascii="Arial" w:eastAsiaTheme="majorEastAsia" w:hAnsi="Arial" w:cs="Arial"/>
      <w:b/>
      <w:sz w:val="24"/>
      <w:szCs w:val="24"/>
    </w:rPr>
  </w:style>
  <w:style w:type="paragraph" w:styleId="Heading2">
    <w:name w:val="heading 2"/>
    <w:basedOn w:val="Normal"/>
    <w:next w:val="Normal"/>
    <w:link w:val="Heading2Char"/>
    <w:uiPriority w:val="9"/>
    <w:unhideWhenUsed/>
    <w:qFormat/>
    <w:rsid w:val="00B2152D"/>
    <w:pPr>
      <w:keepNext/>
      <w:keepLines/>
      <w:numPr>
        <w:ilvl w:val="1"/>
        <w:numId w:val="3"/>
      </w:numPr>
      <w:spacing w:before="120" w:after="120"/>
      <w:outlineLvl w:val="1"/>
    </w:pPr>
    <w:rPr>
      <w:rFonts w:ascii="Arial" w:eastAsiaTheme="majorEastAsia" w:hAnsi="Arial" w:cstheme="majorBidi"/>
      <w:i/>
      <w:sz w:val="24"/>
      <w:szCs w:val="26"/>
    </w:rPr>
  </w:style>
  <w:style w:type="paragraph" w:styleId="Heading3">
    <w:name w:val="heading 3"/>
    <w:basedOn w:val="Normal"/>
    <w:next w:val="Normal"/>
    <w:link w:val="Heading3Char"/>
    <w:uiPriority w:val="9"/>
    <w:semiHidden/>
    <w:unhideWhenUsed/>
    <w:qFormat/>
    <w:rsid w:val="00292D61"/>
    <w:pPr>
      <w:keepNext/>
      <w:keepLines/>
      <w:numPr>
        <w:ilvl w:val="2"/>
        <w:numId w:val="3"/>
      </w:numPr>
      <w:spacing w:before="200" w:after="0" w:line="240" w:lineRule="auto"/>
      <w:outlineLvl w:val="2"/>
    </w:pPr>
    <w:rPr>
      <w:rFonts w:asciiTheme="majorHAnsi" w:eastAsiaTheme="majorEastAsia" w:hAnsiTheme="majorHAnsi" w:cstheme="majorBidi"/>
      <w:b/>
      <w:bCs/>
      <w:color w:val="5B9BD5" w:themeColor="accent1"/>
      <w:sz w:val="24"/>
      <w:szCs w:val="24"/>
    </w:rPr>
  </w:style>
  <w:style w:type="paragraph" w:styleId="Heading4">
    <w:name w:val="heading 4"/>
    <w:basedOn w:val="Normal"/>
    <w:next w:val="Normal"/>
    <w:link w:val="Heading4Char"/>
    <w:uiPriority w:val="9"/>
    <w:semiHidden/>
    <w:unhideWhenUsed/>
    <w:qFormat/>
    <w:rsid w:val="003B75D6"/>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B75D6"/>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B75D6"/>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B75D6"/>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B75D6"/>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B75D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297"/>
    <w:rPr>
      <w:rFonts w:ascii="Arial" w:eastAsiaTheme="majorEastAsia" w:hAnsi="Arial" w:cs="Arial"/>
      <w:b/>
      <w:sz w:val="24"/>
      <w:szCs w:val="24"/>
    </w:rPr>
  </w:style>
  <w:style w:type="character" w:customStyle="1" w:styleId="Heading2Char">
    <w:name w:val="Heading 2 Char"/>
    <w:basedOn w:val="DefaultParagraphFont"/>
    <w:link w:val="Heading2"/>
    <w:uiPriority w:val="9"/>
    <w:rsid w:val="00835E59"/>
    <w:rPr>
      <w:rFonts w:ascii="Arial" w:eastAsiaTheme="majorEastAsia" w:hAnsi="Arial" w:cstheme="majorBidi"/>
      <w:i/>
      <w:sz w:val="24"/>
      <w:szCs w:val="26"/>
    </w:rPr>
  </w:style>
  <w:style w:type="character" w:customStyle="1" w:styleId="Heading3Char">
    <w:name w:val="Heading 3 Char"/>
    <w:basedOn w:val="DefaultParagraphFont"/>
    <w:link w:val="Heading3"/>
    <w:uiPriority w:val="9"/>
    <w:semiHidden/>
    <w:rsid w:val="00292D61"/>
    <w:rPr>
      <w:rFonts w:asciiTheme="majorHAnsi" w:eastAsiaTheme="majorEastAsia" w:hAnsiTheme="majorHAnsi" w:cstheme="majorBidi"/>
      <w:b/>
      <w:bCs/>
      <w:color w:val="5B9BD5" w:themeColor="accent1"/>
      <w:sz w:val="24"/>
      <w:szCs w:val="24"/>
    </w:rPr>
  </w:style>
  <w:style w:type="paragraph" w:customStyle="1" w:styleId="Normal1">
    <w:name w:val="Normal1"/>
    <w:rsid w:val="00115278"/>
    <w:pPr>
      <w:spacing w:after="0" w:line="276" w:lineRule="auto"/>
      <w:contextualSpacing/>
    </w:pPr>
    <w:rPr>
      <w:rFonts w:ascii="Arial" w:eastAsia="Arial" w:hAnsi="Arial" w:cs="Arial"/>
      <w:lang w:val="uz-Cyrl-UZ"/>
    </w:rPr>
  </w:style>
  <w:style w:type="paragraph" w:styleId="TOCHeading">
    <w:name w:val="TOC Heading"/>
    <w:basedOn w:val="Heading1"/>
    <w:next w:val="Normal"/>
    <w:uiPriority w:val="39"/>
    <w:unhideWhenUsed/>
    <w:qFormat/>
    <w:rsid w:val="00115278"/>
    <w:pPr>
      <w:outlineLvl w:val="9"/>
    </w:pPr>
    <w:rPr>
      <w:lang w:val="en-US"/>
    </w:rPr>
  </w:style>
  <w:style w:type="paragraph" w:styleId="Header">
    <w:name w:val="header"/>
    <w:basedOn w:val="Normal"/>
    <w:link w:val="HeaderChar"/>
    <w:uiPriority w:val="99"/>
    <w:unhideWhenUsed/>
    <w:rsid w:val="00115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278"/>
  </w:style>
  <w:style w:type="paragraph" w:styleId="Footer">
    <w:name w:val="footer"/>
    <w:basedOn w:val="Normal"/>
    <w:link w:val="FooterChar"/>
    <w:uiPriority w:val="99"/>
    <w:unhideWhenUsed/>
    <w:rsid w:val="00115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278"/>
  </w:style>
  <w:style w:type="paragraph" w:styleId="ListParagraph">
    <w:name w:val="List Paragraph"/>
    <w:basedOn w:val="Normal"/>
    <w:uiPriority w:val="34"/>
    <w:qFormat/>
    <w:rsid w:val="00115278"/>
    <w:pPr>
      <w:ind w:left="720"/>
      <w:contextualSpacing/>
    </w:pPr>
  </w:style>
  <w:style w:type="table" w:styleId="TableGrid">
    <w:name w:val="Table Grid"/>
    <w:basedOn w:val="TableNormal"/>
    <w:rsid w:val="00300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0EC3"/>
    <w:rPr>
      <w:color w:val="0563C1" w:themeColor="hyperlink"/>
      <w:u w:val="single"/>
    </w:rPr>
  </w:style>
  <w:style w:type="paragraph" w:styleId="TOC1">
    <w:name w:val="toc 1"/>
    <w:basedOn w:val="Normal"/>
    <w:next w:val="Normal"/>
    <w:autoRedefine/>
    <w:uiPriority w:val="39"/>
    <w:unhideWhenUsed/>
    <w:rsid w:val="00385C90"/>
    <w:pPr>
      <w:tabs>
        <w:tab w:val="left" w:pos="440"/>
        <w:tab w:val="right" w:leader="dot" w:pos="9016"/>
      </w:tabs>
      <w:spacing w:after="200" w:line="240" w:lineRule="auto"/>
    </w:pPr>
  </w:style>
  <w:style w:type="paragraph" w:customStyle="1" w:styleId="msonormal0">
    <w:name w:val="msonormal"/>
    <w:basedOn w:val="Normal"/>
    <w:rsid w:val="004D6F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4D6F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4D6FDB"/>
  </w:style>
  <w:style w:type="paragraph" w:styleId="BalloonText">
    <w:name w:val="Balloon Text"/>
    <w:basedOn w:val="Normal"/>
    <w:link w:val="BalloonTextChar"/>
    <w:uiPriority w:val="99"/>
    <w:semiHidden/>
    <w:unhideWhenUsed/>
    <w:rsid w:val="00292D61"/>
    <w:pPr>
      <w:spacing w:after="0" w:line="240"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292D61"/>
    <w:rPr>
      <w:rFonts w:ascii="Lucida Grande" w:eastAsiaTheme="minorEastAsia" w:hAnsi="Lucida Grande" w:cs="Lucida Grande"/>
      <w:sz w:val="18"/>
      <w:szCs w:val="18"/>
    </w:rPr>
  </w:style>
  <w:style w:type="paragraph" w:customStyle="1" w:styleId="Underline">
    <w:name w:val="Underline"/>
    <w:basedOn w:val="Heading3"/>
    <w:link w:val="UnderlineChar"/>
    <w:qFormat/>
    <w:rsid w:val="00292D61"/>
    <w:pPr>
      <w:spacing w:before="0"/>
    </w:pPr>
    <w:rPr>
      <w:rFonts w:ascii="Corbel" w:hAnsi="Corbel"/>
    </w:rPr>
  </w:style>
  <w:style w:type="character" w:customStyle="1" w:styleId="UnderlineChar">
    <w:name w:val="Underline Char"/>
    <w:basedOn w:val="Heading3Char"/>
    <w:link w:val="Underline"/>
    <w:rsid w:val="00292D61"/>
    <w:rPr>
      <w:rFonts w:ascii="Corbel" w:eastAsiaTheme="majorEastAsia" w:hAnsi="Corbel" w:cstheme="majorBidi"/>
      <w:b/>
      <w:bCs/>
      <w:color w:val="5B9BD5" w:themeColor="accent1"/>
      <w:sz w:val="24"/>
      <w:szCs w:val="24"/>
    </w:rPr>
  </w:style>
  <w:style w:type="paragraph" w:styleId="CommentText">
    <w:name w:val="annotation text"/>
    <w:basedOn w:val="Normal"/>
    <w:link w:val="CommentTextChar"/>
    <w:uiPriority w:val="99"/>
    <w:semiHidden/>
    <w:unhideWhenUsed/>
    <w:rsid w:val="00292D61"/>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292D6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92D61"/>
    <w:rPr>
      <w:b/>
      <w:bCs/>
    </w:rPr>
  </w:style>
  <w:style w:type="character" w:customStyle="1" w:styleId="CommentSubjectChar">
    <w:name w:val="Comment Subject Char"/>
    <w:basedOn w:val="CommentTextChar"/>
    <w:link w:val="CommentSubject"/>
    <w:uiPriority w:val="99"/>
    <w:semiHidden/>
    <w:rsid w:val="00292D61"/>
    <w:rPr>
      <w:rFonts w:eastAsiaTheme="minorEastAsia"/>
      <w:b/>
      <w:bCs/>
      <w:sz w:val="20"/>
      <w:szCs w:val="20"/>
    </w:rPr>
  </w:style>
  <w:style w:type="paragraph" w:styleId="TOC2">
    <w:name w:val="toc 2"/>
    <w:basedOn w:val="Normal"/>
    <w:next w:val="Normal"/>
    <w:autoRedefine/>
    <w:uiPriority w:val="39"/>
    <w:unhideWhenUsed/>
    <w:rsid w:val="00E52FA2"/>
    <w:pPr>
      <w:spacing w:after="100"/>
      <w:ind w:left="220"/>
    </w:pPr>
  </w:style>
  <w:style w:type="character" w:styleId="CommentReference">
    <w:name w:val="annotation reference"/>
    <w:basedOn w:val="DefaultParagraphFont"/>
    <w:uiPriority w:val="99"/>
    <w:semiHidden/>
    <w:unhideWhenUsed/>
    <w:rsid w:val="005A0C43"/>
    <w:rPr>
      <w:sz w:val="16"/>
      <w:szCs w:val="16"/>
    </w:rPr>
  </w:style>
  <w:style w:type="paragraph" w:customStyle="1" w:styleId="Numberedsub-heading">
    <w:name w:val="Numbered sub-heading"/>
    <w:basedOn w:val="Heading2"/>
    <w:link w:val="Numberedsub-headingChar"/>
    <w:qFormat/>
    <w:rsid w:val="0076260F"/>
    <w:pPr>
      <w:numPr>
        <w:ilvl w:val="0"/>
        <w:numId w:val="1"/>
      </w:numPr>
    </w:pPr>
    <w:rPr>
      <w:i w:val="0"/>
    </w:rPr>
  </w:style>
  <w:style w:type="paragraph" w:customStyle="1" w:styleId="MainNumber">
    <w:name w:val="Main Number"/>
    <w:basedOn w:val="Normal"/>
    <w:link w:val="MainNumberChar"/>
    <w:qFormat/>
    <w:rsid w:val="001905DC"/>
    <w:pPr>
      <w:spacing w:after="120" w:line="240" w:lineRule="auto"/>
      <w:jc w:val="both"/>
    </w:pPr>
    <w:rPr>
      <w:rFonts w:ascii="Trebuchet MS" w:eastAsiaTheme="minorEastAsia" w:hAnsi="Trebuchet MS"/>
      <w:sz w:val="20"/>
      <w:lang w:eastAsia="en-GB"/>
    </w:rPr>
  </w:style>
  <w:style w:type="character" w:customStyle="1" w:styleId="Numberedsub-headingChar">
    <w:name w:val="Numbered sub-heading Char"/>
    <w:basedOn w:val="Heading2Char"/>
    <w:link w:val="Numberedsub-heading"/>
    <w:rsid w:val="0076260F"/>
    <w:rPr>
      <w:rFonts w:ascii="Arial" w:eastAsiaTheme="majorEastAsia" w:hAnsi="Arial" w:cstheme="majorBidi"/>
      <w:i w:val="0"/>
      <w:sz w:val="24"/>
      <w:szCs w:val="26"/>
    </w:rPr>
  </w:style>
  <w:style w:type="character" w:customStyle="1" w:styleId="MainNumberChar">
    <w:name w:val="Main Number Char"/>
    <w:basedOn w:val="DefaultParagraphFont"/>
    <w:link w:val="MainNumber"/>
    <w:rsid w:val="001905DC"/>
    <w:rPr>
      <w:rFonts w:ascii="Trebuchet MS" w:eastAsiaTheme="minorEastAsia" w:hAnsi="Trebuchet MS"/>
      <w:sz w:val="20"/>
      <w:lang w:eastAsia="en-GB"/>
    </w:rPr>
  </w:style>
  <w:style w:type="numbering" w:customStyle="1" w:styleId="EnergyStratHeading1">
    <w:name w:val="Energy Strat Heading 1"/>
    <w:uiPriority w:val="99"/>
    <w:rsid w:val="00D85D20"/>
    <w:pPr>
      <w:numPr>
        <w:numId w:val="2"/>
      </w:numPr>
    </w:pPr>
  </w:style>
  <w:style w:type="character" w:customStyle="1" w:styleId="Heading4Char">
    <w:name w:val="Heading 4 Char"/>
    <w:basedOn w:val="DefaultParagraphFont"/>
    <w:link w:val="Heading4"/>
    <w:uiPriority w:val="9"/>
    <w:semiHidden/>
    <w:rsid w:val="003B75D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B75D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B75D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B75D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B75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B75D6"/>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D31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544018">
      <w:bodyDiv w:val="1"/>
      <w:marLeft w:val="0"/>
      <w:marRight w:val="0"/>
      <w:marTop w:val="0"/>
      <w:marBottom w:val="0"/>
      <w:divBdr>
        <w:top w:val="none" w:sz="0" w:space="0" w:color="auto"/>
        <w:left w:val="none" w:sz="0" w:space="0" w:color="auto"/>
        <w:bottom w:val="none" w:sz="0" w:space="0" w:color="auto"/>
        <w:right w:val="none" w:sz="0" w:space="0" w:color="auto"/>
      </w:divBdr>
      <w:divsChild>
        <w:div w:id="90980027">
          <w:marLeft w:val="547"/>
          <w:marRight w:val="0"/>
          <w:marTop w:val="0"/>
          <w:marBottom w:val="0"/>
          <w:divBdr>
            <w:top w:val="none" w:sz="0" w:space="0" w:color="auto"/>
            <w:left w:val="none" w:sz="0" w:space="0" w:color="auto"/>
            <w:bottom w:val="none" w:sz="0" w:space="0" w:color="auto"/>
            <w:right w:val="none" w:sz="0" w:space="0" w:color="auto"/>
          </w:divBdr>
        </w:div>
      </w:divsChild>
    </w:div>
    <w:div w:id="1139683640">
      <w:bodyDiv w:val="1"/>
      <w:marLeft w:val="0"/>
      <w:marRight w:val="0"/>
      <w:marTop w:val="0"/>
      <w:marBottom w:val="0"/>
      <w:divBdr>
        <w:top w:val="none" w:sz="0" w:space="0" w:color="auto"/>
        <w:left w:val="none" w:sz="0" w:space="0" w:color="auto"/>
        <w:bottom w:val="none" w:sz="0" w:space="0" w:color="auto"/>
        <w:right w:val="none" w:sz="0" w:space="0" w:color="auto"/>
      </w:divBdr>
      <w:divsChild>
        <w:div w:id="1356425331">
          <w:marLeft w:val="-115"/>
          <w:marRight w:val="0"/>
          <w:marTop w:val="0"/>
          <w:marBottom w:val="0"/>
          <w:divBdr>
            <w:top w:val="none" w:sz="0" w:space="0" w:color="auto"/>
            <w:left w:val="none" w:sz="0" w:space="0" w:color="auto"/>
            <w:bottom w:val="none" w:sz="0" w:space="0" w:color="auto"/>
            <w:right w:val="none" w:sz="0" w:space="0" w:color="auto"/>
          </w:divBdr>
        </w:div>
        <w:div w:id="127674224">
          <w:marLeft w:val="-115"/>
          <w:marRight w:val="0"/>
          <w:marTop w:val="0"/>
          <w:marBottom w:val="0"/>
          <w:divBdr>
            <w:top w:val="none" w:sz="0" w:space="0" w:color="auto"/>
            <w:left w:val="none" w:sz="0" w:space="0" w:color="auto"/>
            <w:bottom w:val="none" w:sz="0" w:space="0" w:color="auto"/>
            <w:right w:val="none" w:sz="0" w:space="0" w:color="auto"/>
          </w:divBdr>
        </w:div>
        <w:div w:id="173473992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C7B68B-6ABC-4E26-8C63-1871EC88D702}" type="doc">
      <dgm:prSet loTypeId="urn:microsoft.com/office/officeart/2005/8/layout/cycle3" loCatId="cycle" qsTypeId="urn:microsoft.com/office/officeart/2005/8/quickstyle/simple1" qsCatId="simple" csTypeId="urn:microsoft.com/office/officeart/2005/8/colors/colorful5" csCatId="colorful" phldr="1"/>
      <dgm:spPr/>
      <dgm:t>
        <a:bodyPr/>
        <a:lstStyle/>
        <a:p>
          <a:endParaRPr lang="en-GB"/>
        </a:p>
      </dgm:t>
    </dgm:pt>
    <dgm:pt modelId="{ACD66962-FF64-4A77-8E62-B8DE055206FB}">
      <dgm:prSet phldrT="[Text]"/>
      <dgm:spPr/>
      <dgm:t>
        <a:bodyPr/>
        <a:lstStyle/>
        <a:p>
          <a:r>
            <a:rPr lang="en-GB"/>
            <a:t>Strategy</a:t>
          </a:r>
        </a:p>
      </dgm:t>
    </dgm:pt>
    <dgm:pt modelId="{2715B709-7E55-4C88-8472-D68ECBFE5339}" type="parTrans" cxnId="{17689EC6-760D-436E-9AF5-2AD31C6F5B04}">
      <dgm:prSet/>
      <dgm:spPr/>
      <dgm:t>
        <a:bodyPr/>
        <a:lstStyle/>
        <a:p>
          <a:endParaRPr lang="en-GB"/>
        </a:p>
      </dgm:t>
    </dgm:pt>
    <dgm:pt modelId="{18EEB8DC-73CC-4E32-902D-D7499D0159B9}" type="sibTrans" cxnId="{17689EC6-760D-436E-9AF5-2AD31C6F5B04}">
      <dgm:prSet/>
      <dgm:spPr/>
      <dgm:t>
        <a:bodyPr/>
        <a:lstStyle/>
        <a:p>
          <a:endParaRPr lang="en-GB"/>
        </a:p>
      </dgm:t>
    </dgm:pt>
    <dgm:pt modelId="{604D8C92-8842-405D-B15D-A1A941B831E3}">
      <dgm:prSet phldrT="[Text]"/>
      <dgm:spPr/>
      <dgm:t>
        <a:bodyPr/>
        <a:lstStyle/>
        <a:p>
          <a:r>
            <a:rPr lang="en-GB"/>
            <a:t>Policy	</a:t>
          </a:r>
        </a:p>
      </dgm:t>
    </dgm:pt>
    <dgm:pt modelId="{0CD5FE71-CB5A-46C5-84BD-9D9DBCFFF681}" type="parTrans" cxnId="{E4DED218-4870-40E8-AE77-C73888C906A8}">
      <dgm:prSet/>
      <dgm:spPr/>
      <dgm:t>
        <a:bodyPr/>
        <a:lstStyle/>
        <a:p>
          <a:endParaRPr lang="en-GB"/>
        </a:p>
      </dgm:t>
    </dgm:pt>
    <dgm:pt modelId="{CE4EA869-B556-4D29-8462-C00A0FD48DC7}" type="sibTrans" cxnId="{E4DED218-4870-40E8-AE77-C73888C906A8}">
      <dgm:prSet/>
      <dgm:spPr/>
      <dgm:t>
        <a:bodyPr/>
        <a:lstStyle/>
        <a:p>
          <a:endParaRPr lang="en-GB"/>
        </a:p>
      </dgm:t>
    </dgm:pt>
    <dgm:pt modelId="{47961F96-A957-433A-9B5A-EB56E89B6388}">
      <dgm:prSet phldrT="[Text]"/>
      <dgm:spPr/>
      <dgm:t>
        <a:bodyPr/>
        <a:lstStyle/>
        <a:p>
          <a:r>
            <a:rPr lang="en-GB"/>
            <a:t>Energy survey</a:t>
          </a:r>
        </a:p>
      </dgm:t>
    </dgm:pt>
    <dgm:pt modelId="{DA4B141E-A48C-4040-91ED-5FBDA29ECD8B}" type="parTrans" cxnId="{9570B85D-0673-401D-8499-C142FA0E7E16}">
      <dgm:prSet/>
      <dgm:spPr/>
      <dgm:t>
        <a:bodyPr/>
        <a:lstStyle/>
        <a:p>
          <a:endParaRPr lang="en-GB"/>
        </a:p>
      </dgm:t>
    </dgm:pt>
    <dgm:pt modelId="{CCBA49AF-5100-4C95-A799-1AAC4781D9DF}" type="sibTrans" cxnId="{9570B85D-0673-401D-8499-C142FA0E7E16}">
      <dgm:prSet/>
      <dgm:spPr/>
      <dgm:t>
        <a:bodyPr/>
        <a:lstStyle/>
        <a:p>
          <a:endParaRPr lang="en-GB"/>
        </a:p>
      </dgm:t>
    </dgm:pt>
    <dgm:pt modelId="{114351C7-1A5A-4D58-9496-9A553FE39301}">
      <dgm:prSet phldrT="[Text]"/>
      <dgm:spPr/>
      <dgm:t>
        <a:bodyPr/>
        <a:lstStyle/>
        <a:p>
          <a:r>
            <a:rPr lang="en-GB"/>
            <a:t>On-going support</a:t>
          </a:r>
        </a:p>
      </dgm:t>
    </dgm:pt>
    <dgm:pt modelId="{92901D2F-66D5-4BE6-818C-6CB4B91340F9}" type="parTrans" cxnId="{36C36AA3-1D2B-4B2A-9E35-85019978300E}">
      <dgm:prSet/>
      <dgm:spPr/>
      <dgm:t>
        <a:bodyPr/>
        <a:lstStyle/>
        <a:p>
          <a:endParaRPr lang="en-GB"/>
        </a:p>
      </dgm:t>
    </dgm:pt>
    <dgm:pt modelId="{1729B1DA-99C9-414F-9387-2C9C3A4F3999}" type="sibTrans" cxnId="{36C36AA3-1D2B-4B2A-9E35-85019978300E}">
      <dgm:prSet/>
      <dgm:spPr/>
      <dgm:t>
        <a:bodyPr/>
        <a:lstStyle/>
        <a:p>
          <a:endParaRPr lang="en-GB"/>
        </a:p>
      </dgm:t>
    </dgm:pt>
    <dgm:pt modelId="{C3E1DC3A-B1F2-424F-9B69-2D172C717CFF}">
      <dgm:prSet phldrT="[Text]"/>
      <dgm:spPr/>
      <dgm:t>
        <a:bodyPr/>
        <a:lstStyle/>
        <a:p>
          <a:r>
            <a:rPr lang="en-GB"/>
            <a:t>Analysis</a:t>
          </a:r>
        </a:p>
      </dgm:t>
    </dgm:pt>
    <dgm:pt modelId="{5836A67D-42A5-437C-8E49-5B2C8B978E84}" type="parTrans" cxnId="{8BAB24DC-3525-4E08-ADBF-66E80FD0480D}">
      <dgm:prSet/>
      <dgm:spPr/>
      <dgm:t>
        <a:bodyPr/>
        <a:lstStyle/>
        <a:p>
          <a:endParaRPr lang="en-GB"/>
        </a:p>
      </dgm:t>
    </dgm:pt>
    <dgm:pt modelId="{EA04DABD-AD68-4C93-996E-E0A4FEC0CC11}" type="sibTrans" cxnId="{8BAB24DC-3525-4E08-ADBF-66E80FD0480D}">
      <dgm:prSet/>
      <dgm:spPr/>
      <dgm:t>
        <a:bodyPr/>
        <a:lstStyle/>
        <a:p>
          <a:endParaRPr lang="en-GB"/>
        </a:p>
      </dgm:t>
    </dgm:pt>
    <dgm:pt modelId="{21755115-E888-492E-8622-6209A8633ACB}">
      <dgm:prSet phldrT="[Text]"/>
      <dgm:spPr/>
      <dgm:t>
        <a:bodyPr/>
        <a:lstStyle/>
        <a:p>
          <a:r>
            <a:rPr lang="en-GB"/>
            <a:t>Energy transformation plan</a:t>
          </a:r>
        </a:p>
      </dgm:t>
    </dgm:pt>
    <dgm:pt modelId="{9B58DBA3-A3DB-4005-B65D-99267907D213}" type="parTrans" cxnId="{4C286909-A180-43F6-AFFA-5ABD580981A8}">
      <dgm:prSet/>
      <dgm:spPr/>
      <dgm:t>
        <a:bodyPr/>
        <a:lstStyle/>
        <a:p>
          <a:endParaRPr lang="en-GB"/>
        </a:p>
      </dgm:t>
    </dgm:pt>
    <dgm:pt modelId="{422812D4-5B91-450F-8FC4-BEF57F932656}" type="sibTrans" cxnId="{4C286909-A180-43F6-AFFA-5ABD580981A8}">
      <dgm:prSet/>
      <dgm:spPr/>
      <dgm:t>
        <a:bodyPr/>
        <a:lstStyle/>
        <a:p>
          <a:endParaRPr lang="en-GB"/>
        </a:p>
      </dgm:t>
    </dgm:pt>
    <dgm:pt modelId="{D999AB09-6020-4433-922E-6852CF5769F2}">
      <dgm:prSet phldrT="[Text]"/>
      <dgm:spPr/>
      <dgm:t>
        <a:bodyPr/>
        <a:lstStyle/>
        <a:p>
          <a:r>
            <a:rPr lang="en-GB"/>
            <a:t>Funding</a:t>
          </a:r>
        </a:p>
      </dgm:t>
    </dgm:pt>
    <dgm:pt modelId="{5403B5DF-A672-47EE-A709-0A79CDFDA97D}" type="parTrans" cxnId="{5C0228EB-1647-4539-AB1E-1FD55A35D83D}">
      <dgm:prSet/>
      <dgm:spPr/>
      <dgm:t>
        <a:bodyPr/>
        <a:lstStyle/>
        <a:p>
          <a:endParaRPr lang="en-GB"/>
        </a:p>
      </dgm:t>
    </dgm:pt>
    <dgm:pt modelId="{CEA4512D-0F87-4BCA-A746-9C5624A296B7}" type="sibTrans" cxnId="{5C0228EB-1647-4539-AB1E-1FD55A35D83D}">
      <dgm:prSet/>
      <dgm:spPr/>
      <dgm:t>
        <a:bodyPr/>
        <a:lstStyle/>
        <a:p>
          <a:endParaRPr lang="en-GB"/>
        </a:p>
      </dgm:t>
    </dgm:pt>
    <dgm:pt modelId="{2E8B9F46-CBDD-4FD6-8EAB-CF9F5035C259}">
      <dgm:prSet phldrT="[Text]"/>
      <dgm:spPr/>
      <dgm:t>
        <a:bodyPr/>
        <a:lstStyle/>
        <a:p>
          <a:r>
            <a:rPr lang="en-GB"/>
            <a:t>Implementation</a:t>
          </a:r>
        </a:p>
      </dgm:t>
    </dgm:pt>
    <dgm:pt modelId="{821439C2-71CB-49B1-918D-94D19FE1A5A6}" type="parTrans" cxnId="{5F3D95BA-4AA1-4FF2-960F-7A4091CE537D}">
      <dgm:prSet/>
      <dgm:spPr/>
      <dgm:t>
        <a:bodyPr/>
        <a:lstStyle/>
        <a:p>
          <a:endParaRPr lang="en-GB"/>
        </a:p>
      </dgm:t>
    </dgm:pt>
    <dgm:pt modelId="{580077D4-D7F4-4248-B5E7-46C94DD2DEAC}" type="sibTrans" cxnId="{5F3D95BA-4AA1-4FF2-960F-7A4091CE537D}">
      <dgm:prSet/>
      <dgm:spPr/>
      <dgm:t>
        <a:bodyPr/>
        <a:lstStyle/>
        <a:p>
          <a:endParaRPr lang="en-GB"/>
        </a:p>
      </dgm:t>
    </dgm:pt>
    <dgm:pt modelId="{B5FEE5BE-E1F7-46F5-978F-7501CB8943C5}" type="pres">
      <dgm:prSet presAssocID="{CAC7B68B-6ABC-4E26-8C63-1871EC88D702}" presName="Name0" presStyleCnt="0">
        <dgm:presLayoutVars>
          <dgm:dir/>
          <dgm:resizeHandles val="exact"/>
        </dgm:presLayoutVars>
      </dgm:prSet>
      <dgm:spPr/>
    </dgm:pt>
    <dgm:pt modelId="{80C12F8B-382D-48D6-B871-1D3DD2083662}" type="pres">
      <dgm:prSet presAssocID="{CAC7B68B-6ABC-4E26-8C63-1871EC88D702}" presName="cycle" presStyleCnt="0"/>
      <dgm:spPr/>
    </dgm:pt>
    <dgm:pt modelId="{7AFF0E44-342C-4738-B836-E5C0B660180F}" type="pres">
      <dgm:prSet presAssocID="{ACD66962-FF64-4A77-8E62-B8DE055206FB}" presName="nodeFirstNode" presStyleLbl="node1" presStyleIdx="0" presStyleCnt="8">
        <dgm:presLayoutVars>
          <dgm:bulletEnabled val="1"/>
        </dgm:presLayoutVars>
      </dgm:prSet>
      <dgm:spPr/>
    </dgm:pt>
    <dgm:pt modelId="{989D6246-7066-41DC-A2F7-751A8A1A360A}" type="pres">
      <dgm:prSet presAssocID="{18EEB8DC-73CC-4E32-902D-D7499D0159B9}" presName="sibTransFirstNode" presStyleLbl="bgShp" presStyleIdx="0" presStyleCnt="1"/>
      <dgm:spPr/>
    </dgm:pt>
    <dgm:pt modelId="{8330EBD5-33AF-4829-BCF8-234635177C04}" type="pres">
      <dgm:prSet presAssocID="{604D8C92-8842-405D-B15D-A1A941B831E3}" presName="nodeFollowingNodes" presStyleLbl="node1" presStyleIdx="1" presStyleCnt="8">
        <dgm:presLayoutVars>
          <dgm:bulletEnabled val="1"/>
        </dgm:presLayoutVars>
      </dgm:prSet>
      <dgm:spPr/>
    </dgm:pt>
    <dgm:pt modelId="{41CBA7F1-AC44-4894-B661-12A7E5A75401}" type="pres">
      <dgm:prSet presAssocID="{47961F96-A957-433A-9B5A-EB56E89B6388}" presName="nodeFollowingNodes" presStyleLbl="node1" presStyleIdx="2" presStyleCnt="8">
        <dgm:presLayoutVars>
          <dgm:bulletEnabled val="1"/>
        </dgm:presLayoutVars>
      </dgm:prSet>
      <dgm:spPr/>
    </dgm:pt>
    <dgm:pt modelId="{329309D8-0AA5-4EC8-B50B-230BDD8656F9}" type="pres">
      <dgm:prSet presAssocID="{21755115-E888-492E-8622-6209A8633ACB}" presName="nodeFollowingNodes" presStyleLbl="node1" presStyleIdx="3" presStyleCnt="8">
        <dgm:presLayoutVars>
          <dgm:bulletEnabled val="1"/>
        </dgm:presLayoutVars>
      </dgm:prSet>
      <dgm:spPr/>
    </dgm:pt>
    <dgm:pt modelId="{59AF543C-BC0C-44FF-81EB-5E2CA41198D0}" type="pres">
      <dgm:prSet presAssocID="{D999AB09-6020-4433-922E-6852CF5769F2}" presName="nodeFollowingNodes" presStyleLbl="node1" presStyleIdx="4" presStyleCnt="8">
        <dgm:presLayoutVars>
          <dgm:bulletEnabled val="1"/>
        </dgm:presLayoutVars>
      </dgm:prSet>
      <dgm:spPr/>
    </dgm:pt>
    <dgm:pt modelId="{49A38F35-D242-42F9-81B9-96F1F4A447DC}" type="pres">
      <dgm:prSet presAssocID="{2E8B9F46-CBDD-4FD6-8EAB-CF9F5035C259}" presName="nodeFollowingNodes" presStyleLbl="node1" presStyleIdx="5" presStyleCnt="8">
        <dgm:presLayoutVars>
          <dgm:bulletEnabled val="1"/>
        </dgm:presLayoutVars>
      </dgm:prSet>
      <dgm:spPr/>
    </dgm:pt>
    <dgm:pt modelId="{AA0388BE-BA23-4EFF-9F87-4F8DD454C77D}" type="pres">
      <dgm:prSet presAssocID="{114351C7-1A5A-4D58-9496-9A553FE39301}" presName="nodeFollowingNodes" presStyleLbl="node1" presStyleIdx="6" presStyleCnt="8">
        <dgm:presLayoutVars>
          <dgm:bulletEnabled val="1"/>
        </dgm:presLayoutVars>
      </dgm:prSet>
      <dgm:spPr/>
    </dgm:pt>
    <dgm:pt modelId="{D520A1DF-C92D-4953-8B5D-4127226B01E8}" type="pres">
      <dgm:prSet presAssocID="{C3E1DC3A-B1F2-424F-9B69-2D172C717CFF}" presName="nodeFollowingNodes" presStyleLbl="node1" presStyleIdx="7" presStyleCnt="8">
        <dgm:presLayoutVars>
          <dgm:bulletEnabled val="1"/>
        </dgm:presLayoutVars>
      </dgm:prSet>
      <dgm:spPr/>
    </dgm:pt>
  </dgm:ptLst>
  <dgm:cxnLst>
    <dgm:cxn modelId="{4C286909-A180-43F6-AFFA-5ABD580981A8}" srcId="{CAC7B68B-6ABC-4E26-8C63-1871EC88D702}" destId="{21755115-E888-492E-8622-6209A8633ACB}" srcOrd="3" destOrd="0" parTransId="{9B58DBA3-A3DB-4005-B65D-99267907D213}" sibTransId="{422812D4-5B91-450F-8FC4-BEF57F932656}"/>
    <dgm:cxn modelId="{EE3CA60E-9503-4BC0-8736-77E0BC3329DD}" type="presOf" srcId="{CAC7B68B-6ABC-4E26-8C63-1871EC88D702}" destId="{B5FEE5BE-E1F7-46F5-978F-7501CB8943C5}" srcOrd="0" destOrd="0" presId="urn:microsoft.com/office/officeart/2005/8/layout/cycle3"/>
    <dgm:cxn modelId="{E4DED218-4870-40E8-AE77-C73888C906A8}" srcId="{CAC7B68B-6ABC-4E26-8C63-1871EC88D702}" destId="{604D8C92-8842-405D-B15D-A1A941B831E3}" srcOrd="1" destOrd="0" parTransId="{0CD5FE71-CB5A-46C5-84BD-9D9DBCFFF681}" sibTransId="{CE4EA869-B556-4D29-8462-C00A0FD48DC7}"/>
    <dgm:cxn modelId="{9570B85D-0673-401D-8499-C142FA0E7E16}" srcId="{CAC7B68B-6ABC-4E26-8C63-1871EC88D702}" destId="{47961F96-A957-433A-9B5A-EB56E89B6388}" srcOrd="2" destOrd="0" parTransId="{DA4B141E-A48C-4040-91ED-5FBDA29ECD8B}" sibTransId="{CCBA49AF-5100-4C95-A799-1AAC4781D9DF}"/>
    <dgm:cxn modelId="{F422C25F-7599-4B9E-9428-556B10350069}" type="presOf" srcId="{47961F96-A957-433A-9B5A-EB56E89B6388}" destId="{41CBA7F1-AC44-4894-B661-12A7E5A75401}" srcOrd="0" destOrd="0" presId="urn:microsoft.com/office/officeart/2005/8/layout/cycle3"/>
    <dgm:cxn modelId="{2C12EB73-18D3-44BD-AE14-38AC4C853D82}" type="presOf" srcId="{114351C7-1A5A-4D58-9496-9A553FE39301}" destId="{AA0388BE-BA23-4EFF-9F87-4F8DD454C77D}" srcOrd="0" destOrd="0" presId="urn:microsoft.com/office/officeart/2005/8/layout/cycle3"/>
    <dgm:cxn modelId="{8C294A74-2771-4DA5-8E53-DE217ABDA739}" type="presOf" srcId="{2E8B9F46-CBDD-4FD6-8EAB-CF9F5035C259}" destId="{49A38F35-D242-42F9-81B9-96F1F4A447DC}" srcOrd="0" destOrd="0" presId="urn:microsoft.com/office/officeart/2005/8/layout/cycle3"/>
    <dgm:cxn modelId="{6D68E454-8F55-4517-9A1A-A8410A219427}" type="presOf" srcId="{18EEB8DC-73CC-4E32-902D-D7499D0159B9}" destId="{989D6246-7066-41DC-A2F7-751A8A1A360A}" srcOrd="0" destOrd="0" presId="urn:microsoft.com/office/officeart/2005/8/layout/cycle3"/>
    <dgm:cxn modelId="{A8085F85-2A19-48F9-B47A-9BC4BBDB71A8}" type="presOf" srcId="{21755115-E888-492E-8622-6209A8633ACB}" destId="{329309D8-0AA5-4EC8-B50B-230BDD8656F9}" srcOrd="0" destOrd="0" presId="urn:microsoft.com/office/officeart/2005/8/layout/cycle3"/>
    <dgm:cxn modelId="{CD9F8397-4A52-4968-8EEF-17DFA380B3A8}" type="presOf" srcId="{ACD66962-FF64-4A77-8E62-B8DE055206FB}" destId="{7AFF0E44-342C-4738-B836-E5C0B660180F}" srcOrd="0" destOrd="0" presId="urn:microsoft.com/office/officeart/2005/8/layout/cycle3"/>
    <dgm:cxn modelId="{36C36AA3-1D2B-4B2A-9E35-85019978300E}" srcId="{CAC7B68B-6ABC-4E26-8C63-1871EC88D702}" destId="{114351C7-1A5A-4D58-9496-9A553FE39301}" srcOrd="6" destOrd="0" parTransId="{92901D2F-66D5-4BE6-818C-6CB4B91340F9}" sibTransId="{1729B1DA-99C9-414F-9387-2C9C3A4F3999}"/>
    <dgm:cxn modelId="{72B853B2-A54C-43CF-AED1-44623BDE004A}" type="presOf" srcId="{604D8C92-8842-405D-B15D-A1A941B831E3}" destId="{8330EBD5-33AF-4829-BCF8-234635177C04}" srcOrd="0" destOrd="0" presId="urn:microsoft.com/office/officeart/2005/8/layout/cycle3"/>
    <dgm:cxn modelId="{5F3D95BA-4AA1-4FF2-960F-7A4091CE537D}" srcId="{CAC7B68B-6ABC-4E26-8C63-1871EC88D702}" destId="{2E8B9F46-CBDD-4FD6-8EAB-CF9F5035C259}" srcOrd="5" destOrd="0" parTransId="{821439C2-71CB-49B1-918D-94D19FE1A5A6}" sibTransId="{580077D4-D7F4-4248-B5E7-46C94DD2DEAC}"/>
    <dgm:cxn modelId="{17689EC6-760D-436E-9AF5-2AD31C6F5B04}" srcId="{CAC7B68B-6ABC-4E26-8C63-1871EC88D702}" destId="{ACD66962-FF64-4A77-8E62-B8DE055206FB}" srcOrd="0" destOrd="0" parTransId="{2715B709-7E55-4C88-8472-D68ECBFE5339}" sibTransId="{18EEB8DC-73CC-4E32-902D-D7499D0159B9}"/>
    <dgm:cxn modelId="{69FBB6D0-F285-4758-8E04-04EF665F3BC2}" type="presOf" srcId="{C3E1DC3A-B1F2-424F-9B69-2D172C717CFF}" destId="{D520A1DF-C92D-4953-8B5D-4127226B01E8}" srcOrd="0" destOrd="0" presId="urn:microsoft.com/office/officeart/2005/8/layout/cycle3"/>
    <dgm:cxn modelId="{8BAB24DC-3525-4E08-ADBF-66E80FD0480D}" srcId="{CAC7B68B-6ABC-4E26-8C63-1871EC88D702}" destId="{C3E1DC3A-B1F2-424F-9B69-2D172C717CFF}" srcOrd="7" destOrd="0" parTransId="{5836A67D-42A5-437C-8E49-5B2C8B978E84}" sibTransId="{EA04DABD-AD68-4C93-996E-E0A4FEC0CC11}"/>
    <dgm:cxn modelId="{060E39E2-7855-4BBE-A737-7F58652669D2}" type="presOf" srcId="{D999AB09-6020-4433-922E-6852CF5769F2}" destId="{59AF543C-BC0C-44FF-81EB-5E2CA41198D0}" srcOrd="0" destOrd="0" presId="urn:microsoft.com/office/officeart/2005/8/layout/cycle3"/>
    <dgm:cxn modelId="{5C0228EB-1647-4539-AB1E-1FD55A35D83D}" srcId="{CAC7B68B-6ABC-4E26-8C63-1871EC88D702}" destId="{D999AB09-6020-4433-922E-6852CF5769F2}" srcOrd="4" destOrd="0" parTransId="{5403B5DF-A672-47EE-A709-0A79CDFDA97D}" sibTransId="{CEA4512D-0F87-4BCA-A746-9C5624A296B7}"/>
    <dgm:cxn modelId="{919D4FC8-CF43-4BD9-8F5B-018224C25539}" type="presParOf" srcId="{B5FEE5BE-E1F7-46F5-978F-7501CB8943C5}" destId="{80C12F8B-382D-48D6-B871-1D3DD2083662}" srcOrd="0" destOrd="0" presId="urn:microsoft.com/office/officeart/2005/8/layout/cycle3"/>
    <dgm:cxn modelId="{DA62F89D-1C43-46A8-ADF7-025B2315D2B2}" type="presParOf" srcId="{80C12F8B-382D-48D6-B871-1D3DD2083662}" destId="{7AFF0E44-342C-4738-B836-E5C0B660180F}" srcOrd="0" destOrd="0" presId="urn:microsoft.com/office/officeart/2005/8/layout/cycle3"/>
    <dgm:cxn modelId="{300FF09D-7AE1-4189-9FEF-25B30F6DAD11}" type="presParOf" srcId="{80C12F8B-382D-48D6-B871-1D3DD2083662}" destId="{989D6246-7066-41DC-A2F7-751A8A1A360A}" srcOrd="1" destOrd="0" presId="urn:microsoft.com/office/officeart/2005/8/layout/cycle3"/>
    <dgm:cxn modelId="{E9EFB6E1-F037-46BB-A749-01CE240C4C1F}" type="presParOf" srcId="{80C12F8B-382D-48D6-B871-1D3DD2083662}" destId="{8330EBD5-33AF-4829-BCF8-234635177C04}" srcOrd="2" destOrd="0" presId="urn:microsoft.com/office/officeart/2005/8/layout/cycle3"/>
    <dgm:cxn modelId="{371FE734-983F-480F-808B-805E852CCE75}" type="presParOf" srcId="{80C12F8B-382D-48D6-B871-1D3DD2083662}" destId="{41CBA7F1-AC44-4894-B661-12A7E5A75401}" srcOrd="3" destOrd="0" presId="urn:microsoft.com/office/officeart/2005/8/layout/cycle3"/>
    <dgm:cxn modelId="{9352900A-7EE7-48CE-8B43-5E1E144DE911}" type="presParOf" srcId="{80C12F8B-382D-48D6-B871-1D3DD2083662}" destId="{329309D8-0AA5-4EC8-B50B-230BDD8656F9}" srcOrd="4" destOrd="0" presId="urn:microsoft.com/office/officeart/2005/8/layout/cycle3"/>
    <dgm:cxn modelId="{9134FF08-1CE8-4016-866B-3FE20C443D3D}" type="presParOf" srcId="{80C12F8B-382D-48D6-B871-1D3DD2083662}" destId="{59AF543C-BC0C-44FF-81EB-5E2CA41198D0}" srcOrd="5" destOrd="0" presId="urn:microsoft.com/office/officeart/2005/8/layout/cycle3"/>
    <dgm:cxn modelId="{F8122AE7-DFEA-4204-A89C-84AAF280061E}" type="presParOf" srcId="{80C12F8B-382D-48D6-B871-1D3DD2083662}" destId="{49A38F35-D242-42F9-81B9-96F1F4A447DC}" srcOrd="6" destOrd="0" presId="urn:microsoft.com/office/officeart/2005/8/layout/cycle3"/>
    <dgm:cxn modelId="{718511B6-B1C3-424B-BA78-43C70AB9034B}" type="presParOf" srcId="{80C12F8B-382D-48D6-B871-1D3DD2083662}" destId="{AA0388BE-BA23-4EFF-9F87-4F8DD454C77D}" srcOrd="7" destOrd="0" presId="urn:microsoft.com/office/officeart/2005/8/layout/cycle3"/>
    <dgm:cxn modelId="{D06F76DC-B256-47A4-B9EA-C95F326E3187}" type="presParOf" srcId="{80C12F8B-382D-48D6-B871-1D3DD2083662}" destId="{D520A1DF-C92D-4953-8B5D-4127226B01E8}" srcOrd="8" destOrd="0" presId="urn:microsoft.com/office/officeart/2005/8/layout/cycle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550ACFE-2958-4CD6-B438-F0161E4C9FED}" type="doc">
      <dgm:prSet loTypeId="urn:microsoft.com/office/officeart/2005/8/layout/hierarchy4" loCatId="hierarchy" qsTypeId="urn:microsoft.com/office/officeart/2005/8/quickstyle/simple1" qsCatId="simple" csTypeId="urn:microsoft.com/office/officeart/2005/8/colors/colorful2" csCatId="colorful" phldr="1"/>
      <dgm:spPr/>
      <dgm:t>
        <a:bodyPr/>
        <a:lstStyle/>
        <a:p>
          <a:endParaRPr lang="en-GB"/>
        </a:p>
      </dgm:t>
    </dgm:pt>
    <dgm:pt modelId="{B47799CB-52F0-4FD5-8EF5-844AE2F512A7}">
      <dgm:prSet phldrT="[Text]"/>
      <dgm:spPr/>
      <dgm:t>
        <a:bodyPr/>
        <a:lstStyle/>
        <a:p>
          <a:r>
            <a:rPr lang="en-GB"/>
            <a:t>Finance, Estates and Operations Committee</a:t>
          </a:r>
        </a:p>
      </dgm:t>
    </dgm:pt>
    <dgm:pt modelId="{28493388-AAF4-4523-B8DE-0FCAC36EF2F4}" type="parTrans" cxnId="{305E98AC-3C10-4D52-82FB-D83D904D1A40}">
      <dgm:prSet/>
      <dgm:spPr/>
      <dgm:t>
        <a:bodyPr/>
        <a:lstStyle/>
        <a:p>
          <a:endParaRPr lang="en-GB"/>
        </a:p>
      </dgm:t>
    </dgm:pt>
    <dgm:pt modelId="{602E934C-9730-4C8B-8122-971FC2EBF569}" type="sibTrans" cxnId="{305E98AC-3C10-4D52-82FB-D83D904D1A40}">
      <dgm:prSet/>
      <dgm:spPr/>
      <dgm:t>
        <a:bodyPr/>
        <a:lstStyle/>
        <a:p>
          <a:endParaRPr lang="en-GB"/>
        </a:p>
      </dgm:t>
    </dgm:pt>
    <dgm:pt modelId="{FE5529FF-1113-4D2A-8196-29D7B18673A4}">
      <dgm:prSet phldrT="[Text]"/>
      <dgm:spPr/>
      <dgm:t>
        <a:bodyPr/>
        <a:lstStyle/>
        <a:p>
          <a:r>
            <a:rPr lang="en-GB"/>
            <a:t>Workstream team - Reducing Energy Consumption</a:t>
          </a:r>
        </a:p>
      </dgm:t>
    </dgm:pt>
    <dgm:pt modelId="{863032B3-C5BB-4BB1-B13E-7F760C20D614}" type="parTrans" cxnId="{967C0559-B975-42B5-AE47-FFC8CEDB69A9}">
      <dgm:prSet/>
      <dgm:spPr/>
      <dgm:t>
        <a:bodyPr/>
        <a:lstStyle/>
        <a:p>
          <a:endParaRPr lang="en-GB"/>
        </a:p>
      </dgm:t>
    </dgm:pt>
    <dgm:pt modelId="{F2A78434-FA2F-4903-9AFA-377BEF135646}" type="sibTrans" cxnId="{967C0559-B975-42B5-AE47-FFC8CEDB69A9}">
      <dgm:prSet/>
      <dgm:spPr/>
      <dgm:t>
        <a:bodyPr/>
        <a:lstStyle/>
        <a:p>
          <a:endParaRPr lang="en-GB"/>
        </a:p>
      </dgm:t>
    </dgm:pt>
    <dgm:pt modelId="{39A59393-57D0-4E1A-94F8-3AFC92C4A0EC}">
      <dgm:prSet phldrT="[Text]"/>
      <dgm:spPr/>
      <dgm:t>
        <a:bodyPr/>
        <a:lstStyle/>
        <a:p>
          <a:r>
            <a:rPr lang="en-GB"/>
            <a:t>Workstream team - Energy Generation		</a:t>
          </a:r>
        </a:p>
      </dgm:t>
    </dgm:pt>
    <dgm:pt modelId="{4DD18737-7CE1-40AB-8806-969E50423B91}" type="parTrans" cxnId="{058F7934-BCC3-4A63-958D-96385AF5558B}">
      <dgm:prSet/>
      <dgm:spPr/>
      <dgm:t>
        <a:bodyPr/>
        <a:lstStyle/>
        <a:p>
          <a:endParaRPr lang="en-GB"/>
        </a:p>
      </dgm:t>
    </dgm:pt>
    <dgm:pt modelId="{74CACDA5-41C4-4267-BD38-E57EF3F16AA9}" type="sibTrans" cxnId="{058F7934-BCC3-4A63-958D-96385AF5558B}">
      <dgm:prSet/>
      <dgm:spPr/>
      <dgm:t>
        <a:bodyPr/>
        <a:lstStyle/>
        <a:p>
          <a:endParaRPr lang="en-GB"/>
        </a:p>
      </dgm:t>
    </dgm:pt>
    <dgm:pt modelId="{0C8715B9-5365-4AAE-B1A5-3B1D7A8AC72E}">
      <dgm:prSet phldrT="[Text]"/>
      <dgm:spPr/>
      <dgm:t>
        <a:bodyPr/>
        <a:lstStyle/>
        <a:p>
          <a:r>
            <a:rPr lang="en-GB"/>
            <a:t>Workstream team - Embedding Behavioural Change</a:t>
          </a:r>
        </a:p>
      </dgm:t>
    </dgm:pt>
    <dgm:pt modelId="{3425BA92-4596-4582-818F-4C3D2A697170}" type="parTrans" cxnId="{BD6BBF0A-E233-426A-B0FB-D8505D6F8C34}">
      <dgm:prSet/>
      <dgm:spPr/>
      <dgm:t>
        <a:bodyPr/>
        <a:lstStyle/>
        <a:p>
          <a:endParaRPr lang="en-GB"/>
        </a:p>
      </dgm:t>
    </dgm:pt>
    <dgm:pt modelId="{0A2CDFAF-47DD-42A5-88EC-DA0523057815}" type="sibTrans" cxnId="{BD6BBF0A-E233-426A-B0FB-D8505D6F8C34}">
      <dgm:prSet/>
      <dgm:spPr/>
      <dgm:t>
        <a:bodyPr/>
        <a:lstStyle/>
        <a:p>
          <a:endParaRPr lang="en-GB"/>
        </a:p>
      </dgm:t>
    </dgm:pt>
    <dgm:pt modelId="{CDD0D75F-1885-48B4-BA67-9DDAEB561FAA}">
      <dgm:prSet phldrT="[Text]"/>
      <dgm:spPr/>
      <dgm:t>
        <a:bodyPr/>
        <a:lstStyle/>
        <a:p>
          <a:r>
            <a:rPr lang="en-GB"/>
            <a:t>Energy Strategy Group (Reporting to the Executive Leadership Team)</a:t>
          </a:r>
        </a:p>
      </dgm:t>
    </dgm:pt>
    <dgm:pt modelId="{77A19731-4118-4F70-AF6A-4D8BCB5F985A}" type="parTrans" cxnId="{20AF68E3-6592-4CD1-9E3E-662E1836C4D2}">
      <dgm:prSet/>
      <dgm:spPr/>
      <dgm:t>
        <a:bodyPr/>
        <a:lstStyle/>
        <a:p>
          <a:endParaRPr lang="en-GB"/>
        </a:p>
      </dgm:t>
    </dgm:pt>
    <dgm:pt modelId="{7619C0CD-0AC0-46F0-930E-2F8D28CD6D0B}" type="sibTrans" cxnId="{20AF68E3-6592-4CD1-9E3E-662E1836C4D2}">
      <dgm:prSet/>
      <dgm:spPr/>
      <dgm:t>
        <a:bodyPr/>
        <a:lstStyle/>
        <a:p>
          <a:endParaRPr lang="en-GB"/>
        </a:p>
      </dgm:t>
    </dgm:pt>
    <dgm:pt modelId="{1FF193CB-67F9-41BF-BC3E-B7466CE2259F}">
      <dgm:prSet phldrT="[Text]" custT="1"/>
      <dgm:spPr/>
      <dgm:t>
        <a:bodyPr/>
        <a:lstStyle/>
        <a:p>
          <a:r>
            <a:rPr lang="en-GB" sz="2300"/>
            <a:t>Climate Change Strategic Group</a:t>
          </a:r>
          <a:endParaRPr lang="en-GB" sz="1000"/>
        </a:p>
      </dgm:t>
    </dgm:pt>
    <dgm:pt modelId="{CC7023BA-BFA5-4074-BA6C-CB8FC268B1D1}" type="parTrans" cxnId="{01EA297E-2656-4338-A887-5CD7578D2264}">
      <dgm:prSet/>
      <dgm:spPr/>
      <dgm:t>
        <a:bodyPr/>
        <a:lstStyle/>
        <a:p>
          <a:endParaRPr lang="en-GB"/>
        </a:p>
      </dgm:t>
    </dgm:pt>
    <dgm:pt modelId="{8D96D99F-93A5-4D54-9985-04C967AC7354}" type="sibTrans" cxnId="{01EA297E-2656-4338-A887-5CD7578D2264}">
      <dgm:prSet/>
      <dgm:spPr/>
      <dgm:t>
        <a:bodyPr/>
        <a:lstStyle/>
        <a:p>
          <a:endParaRPr lang="en-GB"/>
        </a:p>
      </dgm:t>
    </dgm:pt>
    <dgm:pt modelId="{C138CFFC-8FE9-43BF-8130-D1141D066C61}">
      <dgm:prSet phldrT="[Text]"/>
      <dgm:spPr/>
      <dgm:t>
        <a:bodyPr/>
        <a:lstStyle/>
        <a:p>
          <a:r>
            <a:rPr lang="en-GB"/>
            <a:t>Workstream team - Energy Procurement</a:t>
          </a:r>
        </a:p>
      </dgm:t>
    </dgm:pt>
    <dgm:pt modelId="{F6772F7D-4A88-443A-A0B0-6DBA877D3AD8}" type="parTrans" cxnId="{6CCC7D21-CCBC-491D-AD80-FDDF391D4879}">
      <dgm:prSet/>
      <dgm:spPr/>
      <dgm:t>
        <a:bodyPr/>
        <a:lstStyle/>
        <a:p>
          <a:endParaRPr lang="en-GB"/>
        </a:p>
      </dgm:t>
    </dgm:pt>
    <dgm:pt modelId="{05725FD4-9A09-45DB-8FF2-CF735D1701F4}" type="sibTrans" cxnId="{6CCC7D21-CCBC-491D-AD80-FDDF391D4879}">
      <dgm:prSet/>
      <dgm:spPr/>
      <dgm:t>
        <a:bodyPr/>
        <a:lstStyle/>
        <a:p>
          <a:endParaRPr lang="en-GB"/>
        </a:p>
      </dgm:t>
    </dgm:pt>
    <dgm:pt modelId="{ED34C503-2F53-4BBD-9B5F-7C75C087DFB6}">
      <dgm:prSet phldrT="[Text]"/>
      <dgm:spPr/>
      <dgm:t>
        <a:bodyPr/>
        <a:lstStyle/>
        <a:p>
          <a:r>
            <a:rPr lang="en-GB"/>
            <a:t>Director of Operations</a:t>
          </a:r>
        </a:p>
      </dgm:t>
    </dgm:pt>
    <dgm:pt modelId="{192AA43E-250D-494B-A6B6-9AC44D00D1C2}" type="parTrans" cxnId="{939E14A5-BCF1-479E-9CFD-E51514A7D3B2}">
      <dgm:prSet/>
      <dgm:spPr/>
    </dgm:pt>
    <dgm:pt modelId="{91594BD2-1882-44D1-BA25-1C818D2E5807}" type="sibTrans" cxnId="{939E14A5-BCF1-479E-9CFD-E51514A7D3B2}">
      <dgm:prSet/>
      <dgm:spPr/>
    </dgm:pt>
    <dgm:pt modelId="{112D3B1D-82D2-4163-AFC3-F6283AB59599}" type="pres">
      <dgm:prSet presAssocID="{D550ACFE-2958-4CD6-B438-F0161E4C9FED}" presName="Name0" presStyleCnt="0">
        <dgm:presLayoutVars>
          <dgm:chPref val="1"/>
          <dgm:dir/>
          <dgm:animOne val="branch"/>
          <dgm:animLvl val="lvl"/>
          <dgm:resizeHandles/>
        </dgm:presLayoutVars>
      </dgm:prSet>
      <dgm:spPr/>
    </dgm:pt>
    <dgm:pt modelId="{E4AC4799-9089-4A6E-9391-615B07F80BFF}" type="pres">
      <dgm:prSet presAssocID="{B47799CB-52F0-4FD5-8EF5-844AE2F512A7}" presName="vertOne" presStyleCnt="0"/>
      <dgm:spPr/>
    </dgm:pt>
    <dgm:pt modelId="{909A773D-FC73-41AB-AFC4-3CA5FA22015D}" type="pres">
      <dgm:prSet presAssocID="{B47799CB-52F0-4FD5-8EF5-844AE2F512A7}" presName="txOne" presStyleLbl="node0" presStyleIdx="0" presStyleCnt="1">
        <dgm:presLayoutVars>
          <dgm:chPref val="3"/>
        </dgm:presLayoutVars>
      </dgm:prSet>
      <dgm:spPr/>
    </dgm:pt>
    <dgm:pt modelId="{626EEC40-168C-45D1-8D15-9896F937C397}" type="pres">
      <dgm:prSet presAssocID="{B47799CB-52F0-4FD5-8EF5-844AE2F512A7}" presName="parTransOne" presStyleCnt="0"/>
      <dgm:spPr/>
    </dgm:pt>
    <dgm:pt modelId="{651A7398-5BB6-4D39-B71E-286BFAA90D70}" type="pres">
      <dgm:prSet presAssocID="{B47799CB-52F0-4FD5-8EF5-844AE2F512A7}" presName="horzOne" presStyleCnt="0"/>
      <dgm:spPr/>
    </dgm:pt>
    <dgm:pt modelId="{7CF503AE-F1DB-4311-941A-2CB11C88FBD6}" type="pres">
      <dgm:prSet presAssocID="{CDD0D75F-1885-48B4-BA67-9DDAEB561FAA}" presName="vertTwo" presStyleCnt="0"/>
      <dgm:spPr/>
    </dgm:pt>
    <dgm:pt modelId="{635F119B-F0FA-4F7A-9031-4304D43882C6}" type="pres">
      <dgm:prSet presAssocID="{CDD0D75F-1885-48B4-BA67-9DDAEB561FAA}" presName="txTwo" presStyleLbl="node2" presStyleIdx="0" presStyleCnt="1">
        <dgm:presLayoutVars>
          <dgm:chPref val="3"/>
        </dgm:presLayoutVars>
      </dgm:prSet>
      <dgm:spPr/>
    </dgm:pt>
    <dgm:pt modelId="{EB9EEF74-9F87-4814-B72C-D827E52E6342}" type="pres">
      <dgm:prSet presAssocID="{CDD0D75F-1885-48B4-BA67-9DDAEB561FAA}" presName="parTransTwo" presStyleCnt="0"/>
      <dgm:spPr/>
    </dgm:pt>
    <dgm:pt modelId="{166F2013-1BD2-4FE7-94F4-982FB164D287}" type="pres">
      <dgm:prSet presAssocID="{CDD0D75F-1885-48B4-BA67-9DDAEB561FAA}" presName="horzTwo" presStyleCnt="0"/>
      <dgm:spPr/>
    </dgm:pt>
    <dgm:pt modelId="{D75B9913-81FD-4F6F-9087-A8B8026F20EF}" type="pres">
      <dgm:prSet presAssocID="{ED34C503-2F53-4BBD-9B5F-7C75C087DFB6}" presName="vertThree" presStyleCnt="0"/>
      <dgm:spPr/>
    </dgm:pt>
    <dgm:pt modelId="{A2B3D79E-7B01-42F0-9707-DAC4938C339E}" type="pres">
      <dgm:prSet presAssocID="{ED34C503-2F53-4BBD-9B5F-7C75C087DFB6}" presName="txThree" presStyleLbl="node3" presStyleIdx="0" presStyleCnt="1">
        <dgm:presLayoutVars>
          <dgm:chPref val="3"/>
        </dgm:presLayoutVars>
      </dgm:prSet>
      <dgm:spPr/>
    </dgm:pt>
    <dgm:pt modelId="{DD9A505B-1BC0-460A-8D96-F3D35049A5B1}" type="pres">
      <dgm:prSet presAssocID="{ED34C503-2F53-4BBD-9B5F-7C75C087DFB6}" presName="parTransThree" presStyleCnt="0"/>
      <dgm:spPr/>
    </dgm:pt>
    <dgm:pt modelId="{881449C7-7928-40F6-A02A-6C8AB787CBBC}" type="pres">
      <dgm:prSet presAssocID="{ED34C503-2F53-4BBD-9B5F-7C75C087DFB6}" presName="horzThree" presStyleCnt="0"/>
      <dgm:spPr/>
    </dgm:pt>
    <dgm:pt modelId="{098E96AD-E2BD-40B7-9760-73AFBDD7AE83}" type="pres">
      <dgm:prSet presAssocID="{1FF193CB-67F9-41BF-BC3E-B7466CE2259F}" presName="vertFour" presStyleCnt="0">
        <dgm:presLayoutVars>
          <dgm:chPref val="3"/>
        </dgm:presLayoutVars>
      </dgm:prSet>
      <dgm:spPr/>
    </dgm:pt>
    <dgm:pt modelId="{F2DFE7BA-25AA-4E82-944D-1E78934FE02D}" type="pres">
      <dgm:prSet presAssocID="{1FF193CB-67F9-41BF-BC3E-B7466CE2259F}" presName="txFour" presStyleLbl="node4" presStyleIdx="0" presStyleCnt="5">
        <dgm:presLayoutVars>
          <dgm:chPref val="3"/>
        </dgm:presLayoutVars>
      </dgm:prSet>
      <dgm:spPr/>
    </dgm:pt>
    <dgm:pt modelId="{9A8AE881-C3BF-461A-90B1-E653147B917A}" type="pres">
      <dgm:prSet presAssocID="{1FF193CB-67F9-41BF-BC3E-B7466CE2259F}" presName="parTransFour" presStyleCnt="0"/>
      <dgm:spPr/>
    </dgm:pt>
    <dgm:pt modelId="{7D2F5795-993A-4726-B9F8-ADBB2467B5D2}" type="pres">
      <dgm:prSet presAssocID="{1FF193CB-67F9-41BF-BC3E-B7466CE2259F}" presName="horzFour" presStyleCnt="0"/>
      <dgm:spPr/>
    </dgm:pt>
    <dgm:pt modelId="{B0F30F34-3069-4303-81B3-04886A906868}" type="pres">
      <dgm:prSet presAssocID="{C138CFFC-8FE9-43BF-8130-D1141D066C61}" presName="vertFour" presStyleCnt="0">
        <dgm:presLayoutVars>
          <dgm:chPref val="3"/>
        </dgm:presLayoutVars>
      </dgm:prSet>
      <dgm:spPr/>
    </dgm:pt>
    <dgm:pt modelId="{1BA1D534-9603-4F10-8010-B5CDDC454FFD}" type="pres">
      <dgm:prSet presAssocID="{C138CFFC-8FE9-43BF-8130-D1141D066C61}" presName="txFour" presStyleLbl="node4" presStyleIdx="1" presStyleCnt="5">
        <dgm:presLayoutVars>
          <dgm:chPref val="3"/>
        </dgm:presLayoutVars>
      </dgm:prSet>
      <dgm:spPr/>
    </dgm:pt>
    <dgm:pt modelId="{3390CF41-3118-4999-922C-885EA469423E}" type="pres">
      <dgm:prSet presAssocID="{C138CFFC-8FE9-43BF-8130-D1141D066C61}" presName="horzFour" presStyleCnt="0"/>
      <dgm:spPr/>
    </dgm:pt>
    <dgm:pt modelId="{B73FC5B6-866A-41EC-98C6-A6A98C8929D7}" type="pres">
      <dgm:prSet presAssocID="{05725FD4-9A09-45DB-8FF2-CF735D1701F4}" presName="sibSpaceFour" presStyleCnt="0"/>
      <dgm:spPr/>
    </dgm:pt>
    <dgm:pt modelId="{FF47D770-24F5-42DF-8001-3E2417478080}" type="pres">
      <dgm:prSet presAssocID="{FE5529FF-1113-4D2A-8196-29D7B18673A4}" presName="vertFour" presStyleCnt="0">
        <dgm:presLayoutVars>
          <dgm:chPref val="3"/>
        </dgm:presLayoutVars>
      </dgm:prSet>
      <dgm:spPr/>
    </dgm:pt>
    <dgm:pt modelId="{CC5F8083-59D7-445B-A147-1F182982C431}" type="pres">
      <dgm:prSet presAssocID="{FE5529FF-1113-4D2A-8196-29D7B18673A4}" presName="txFour" presStyleLbl="node4" presStyleIdx="2" presStyleCnt="5">
        <dgm:presLayoutVars>
          <dgm:chPref val="3"/>
        </dgm:presLayoutVars>
      </dgm:prSet>
      <dgm:spPr/>
    </dgm:pt>
    <dgm:pt modelId="{666B795D-5E0A-4329-A885-7D52487942C4}" type="pres">
      <dgm:prSet presAssocID="{FE5529FF-1113-4D2A-8196-29D7B18673A4}" presName="horzFour" presStyleCnt="0"/>
      <dgm:spPr/>
    </dgm:pt>
    <dgm:pt modelId="{897A74AC-40D8-4414-8EC8-7AE847BE69D7}" type="pres">
      <dgm:prSet presAssocID="{F2A78434-FA2F-4903-9AFA-377BEF135646}" presName="sibSpaceFour" presStyleCnt="0"/>
      <dgm:spPr/>
    </dgm:pt>
    <dgm:pt modelId="{26E97D84-DD19-433D-A90C-105272C89F37}" type="pres">
      <dgm:prSet presAssocID="{39A59393-57D0-4E1A-94F8-3AFC92C4A0EC}" presName="vertFour" presStyleCnt="0">
        <dgm:presLayoutVars>
          <dgm:chPref val="3"/>
        </dgm:presLayoutVars>
      </dgm:prSet>
      <dgm:spPr/>
    </dgm:pt>
    <dgm:pt modelId="{C2C3B006-26EA-4107-BE93-7934EF285380}" type="pres">
      <dgm:prSet presAssocID="{39A59393-57D0-4E1A-94F8-3AFC92C4A0EC}" presName="txFour" presStyleLbl="node4" presStyleIdx="3" presStyleCnt="5">
        <dgm:presLayoutVars>
          <dgm:chPref val="3"/>
        </dgm:presLayoutVars>
      </dgm:prSet>
      <dgm:spPr/>
    </dgm:pt>
    <dgm:pt modelId="{6AE9266A-A36B-472D-86A4-F28738B0076A}" type="pres">
      <dgm:prSet presAssocID="{39A59393-57D0-4E1A-94F8-3AFC92C4A0EC}" presName="horzFour" presStyleCnt="0"/>
      <dgm:spPr/>
    </dgm:pt>
    <dgm:pt modelId="{A783B5D2-EA92-453D-8923-1300896B3A01}" type="pres">
      <dgm:prSet presAssocID="{74CACDA5-41C4-4267-BD38-E57EF3F16AA9}" presName="sibSpaceFour" presStyleCnt="0"/>
      <dgm:spPr/>
    </dgm:pt>
    <dgm:pt modelId="{5D60B772-E65B-47C3-8D88-BBB947CD1338}" type="pres">
      <dgm:prSet presAssocID="{0C8715B9-5365-4AAE-B1A5-3B1D7A8AC72E}" presName="vertFour" presStyleCnt="0">
        <dgm:presLayoutVars>
          <dgm:chPref val="3"/>
        </dgm:presLayoutVars>
      </dgm:prSet>
      <dgm:spPr/>
    </dgm:pt>
    <dgm:pt modelId="{5BB81F09-2B52-4218-9F33-385D2BE2F8C9}" type="pres">
      <dgm:prSet presAssocID="{0C8715B9-5365-4AAE-B1A5-3B1D7A8AC72E}" presName="txFour" presStyleLbl="node4" presStyleIdx="4" presStyleCnt="5">
        <dgm:presLayoutVars>
          <dgm:chPref val="3"/>
        </dgm:presLayoutVars>
      </dgm:prSet>
      <dgm:spPr/>
    </dgm:pt>
    <dgm:pt modelId="{84E925D3-F38D-4BD3-99B6-4A896FCF44A3}" type="pres">
      <dgm:prSet presAssocID="{0C8715B9-5365-4AAE-B1A5-3B1D7A8AC72E}" presName="horzFour" presStyleCnt="0"/>
      <dgm:spPr/>
    </dgm:pt>
  </dgm:ptLst>
  <dgm:cxnLst>
    <dgm:cxn modelId="{BD6BBF0A-E233-426A-B0FB-D8505D6F8C34}" srcId="{1FF193CB-67F9-41BF-BC3E-B7466CE2259F}" destId="{0C8715B9-5365-4AAE-B1A5-3B1D7A8AC72E}" srcOrd="3" destOrd="0" parTransId="{3425BA92-4596-4582-818F-4C3D2A697170}" sibTransId="{0A2CDFAF-47DD-42A5-88EC-DA0523057815}"/>
    <dgm:cxn modelId="{6CCC7D21-CCBC-491D-AD80-FDDF391D4879}" srcId="{1FF193CB-67F9-41BF-BC3E-B7466CE2259F}" destId="{C138CFFC-8FE9-43BF-8130-D1141D066C61}" srcOrd="0" destOrd="0" parTransId="{F6772F7D-4A88-443A-A0B0-6DBA877D3AD8}" sibTransId="{05725FD4-9A09-45DB-8FF2-CF735D1701F4}"/>
    <dgm:cxn modelId="{058F7934-BCC3-4A63-958D-96385AF5558B}" srcId="{1FF193CB-67F9-41BF-BC3E-B7466CE2259F}" destId="{39A59393-57D0-4E1A-94F8-3AFC92C4A0EC}" srcOrd="2" destOrd="0" parTransId="{4DD18737-7CE1-40AB-8806-969E50423B91}" sibTransId="{74CACDA5-41C4-4267-BD38-E57EF3F16AA9}"/>
    <dgm:cxn modelId="{E8DD2337-BECF-4485-96B2-E0EA8E9F46DC}" type="presOf" srcId="{ED34C503-2F53-4BBD-9B5F-7C75C087DFB6}" destId="{A2B3D79E-7B01-42F0-9707-DAC4938C339E}" srcOrd="0" destOrd="0" presId="urn:microsoft.com/office/officeart/2005/8/layout/hierarchy4"/>
    <dgm:cxn modelId="{E434DC3D-DCB4-4174-A597-686355C5AC61}" type="presOf" srcId="{0C8715B9-5365-4AAE-B1A5-3B1D7A8AC72E}" destId="{5BB81F09-2B52-4218-9F33-385D2BE2F8C9}" srcOrd="0" destOrd="0" presId="urn:microsoft.com/office/officeart/2005/8/layout/hierarchy4"/>
    <dgm:cxn modelId="{BFF0EB5E-1596-41D4-9737-7D621CABE571}" type="presOf" srcId="{CDD0D75F-1885-48B4-BA67-9DDAEB561FAA}" destId="{635F119B-F0FA-4F7A-9031-4304D43882C6}" srcOrd="0" destOrd="0" presId="urn:microsoft.com/office/officeart/2005/8/layout/hierarchy4"/>
    <dgm:cxn modelId="{967C0559-B975-42B5-AE47-FFC8CEDB69A9}" srcId="{1FF193CB-67F9-41BF-BC3E-B7466CE2259F}" destId="{FE5529FF-1113-4D2A-8196-29D7B18673A4}" srcOrd="1" destOrd="0" parTransId="{863032B3-C5BB-4BB1-B13E-7F760C20D614}" sibTransId="{F2A78434-FA2F-4903-9AFA-377BEF135646}"/>
    <dgm:cxn modelId="{01EA297E-2656-4338-A887-5CD7578D2264}" srcId="{ED34C503-2F53-4BBD-9B5F-7C75C087DFB6}" destId="{1FF193CB-67F9-41BF-BC3E-B7466CE2259F}" srcOrd="0" destOrd="0" parTransId="{CC7023BA-BFA5-4074-BA6C-CB8FC268B1D1}" sibTransId="{8D96D99F-93A5-4D54-9985-04C967AC7354}"/>
    <dgm:cxn modelId="{939E14A5-BCF1-479E-9CFD-E51514A7D3B2}" srcId="{CDD0D75F-1885-48B4-BA67-9DDAEB561FAA}" destId="{ED34C503-2F53-4BBD-9B5F-7C75C087DFB6}" srcOrd="0" destOrd="0" parTransId="{192AA43E-250D-494B-A6B6-9AC44D00D1C2}" sibTransId="{91594BD2-1882-44D1-BA25-1C818D2E5807}"/>
    <dgm:cxn modelId="{305E98AC-3C10-4D52-82FB-D83D904D1A40}" srcId="{D550ACFE-2958-4CD6-B438-F0161E4C9FED}" destId="{B47799CB-52F0-4FD5-8EF5-844AE2F512A7}" srcOrd="0" destOrd="0" parTransId="{28493388-AAF4-4523-B8DE-0FCAC36EF2F4}" sibTransId="{602E934C-9730-4C8B-8122-971FC2EBF569}"/>
    <dgm:cxn modelId="{A1C295B0-D28C-4D1F-A1D4-5F8877B7B931}" type="presOf" srcId="{B47799CB-52F0-4FD5-8EF5-844AE2F512A7}" destId="{909A773D-FC73-41AB-AFC4-3CA5FA22015D}" srcOrd="0" destOrd="0" presId="urn:microsoft.com/office/officeart/2005/8/layout/hierarchy4"/>
    <dgm:cxn modelId="{29A843CE-6AAD-42A1-A268-9A75E610E175}" type="presOf" srcId="{39A59393-57D0-4E1A-94F8-3AFC92C4A0EC}" destId="{C2C3B006-26EA-4107-BE93-7934EF285380}" srcOrd="0" destOrd="0" presId="urn:microsoft.com/office/officeart/2005/8/layout/hierarchy4"/>
    <dgm:cxn modelId="{7033B1D6-56EC-46CD-874B-7B3D7AADCB49}" type="presOf" srcId="{FE5529FF-1113-4D2A-8196-29D7B18673A4}" destId="{CC5F8083-59D7-445B-A147-1F182982C431}" srcOrd="0" destOrd="0" presId="urn:microsoft.com/office/officeart/2005/8/layout/hierarchy4"/>
    <dgm:cxn modelId="{20AF68E3-6592-4CD1-9E3E-662E1836C4D2}" srcId="{B47799CB-52F0-4FD5-8EF5-844AE2F512A7}" destId="{CDD0D75F-1885-48B4-BA67-9DDAEB561FAA}" srcOrd="0" destOrd="0" parTransId="{77A19731-4118-4F70-AF6A-4D8BCB5F985A}" sibTransId="{7619C0CD-0AC0-46F0-930E-2F8D28CD6D0B}"/>
    <dgm:cxn modelId="{A411B0EB-D187-4C6F-98E3-C3A63CAF88EB}" type="presOf" srcId="{C138CFFC-8FE9-43BF-8130-D1141D066C61}" destId="{1BA1D534-9603-4F10-8010-B5CDDC454FFD}" srcOrd="0" destOrd="0" presId="urn:microsoft.com/office/officeart/2005/8/layout/hierarchy4"/>
    <dgm:cxn modelId="{DB41ACEE-E577-4647-B542-DC96C483444D}" type="presOf" srcId="{D550ACFE-2958-4CD6-B438-F0161E4C9FED}" destId="{112D3B1D-82D2-4163-AFC3-F6283AB59599}" srcOrd="0" destOrd="0" presId="urn:microsoft.com/office/officeart/2005/8/layout/hierarchy4"/>
    <dgm:cxn modelId="{0BA52BFF-7942-4D69-8E3E-96B91928E7DA}" type="presOf" srcId="{1FF193CB-67F9-41BF-BC3E-B7466CE2259F}" destId="{F2DFE7BA-25AA-4E82-944D-1E78934FE02D}" srcOrd="0" destOrd="0" presId="urn:microsoft.com/office/officeart/2005/8/layout/hierarchy4"/>
    <dgm:cxn modelId="{4DA6861F-DB18-41EB-85FD-3D46F20DDEFB}" type="presParOf" srcId="{112D3B1D-82D2-4163-AFC3-F6283AB59599}" destId="{E4AC4799-9089-4A6E-9391-615B07F80BFF}" srcOrd="0" destOrd="0" presId="urn:microsoft.com/office/officeart/2005/8/layout/hierarchy4"/>
    <dgm:cxn modelId="{22330A82-DA4D-43E7-9916-C9C86B45BE8C}" type="presParOf" srcId="{E4AC4799-9089-4A6E-9391-615B07F80BFF}" destId="{909A773D-FC73-41AB-AFC4-3CA5FA22015D}" srcOrd="0" destOrd="0" presId="urn:microsoft.com/office/officeart/2005/8/layout/hierarchy4"/>
    <dgm:cxn modelId="{7105D583-BA43-45A0-B0FC-6AE6F53A569B}" type="presParOf" srcId="{E4AC4799-9089-4A6E-9391-615B07F80BFF}" destId="{626EEC40-168C-45D1-8D15-9896F937C397}" srcOrd="1" destOrd="0" presId="urn:microsoft.com/office/officeart/2005/8/layout/hierarchy4"/>
    <dgm:cxn modelId="{1CBD89B8-B88C-4B4D-9F6C-AD1BD0E14AAF}" type="presParOf" srcId="{E4AC4799-9089-4A6E-9391-615B07F80BFF}" destId="{651A7398-5BB6-4D39-B71E-286BFAA90D70}" srcOrd="2" destOrd="0" presId="urn:microsoft.com/office/officeart/2005/8/layout/hierarchy4"/>
    <dgm:cxn modelId="{F7BB1699-0502-4B73-9B8C-9EE4C7E0AB7F}" type="presParOf" srcId="{651A7398-5BB6-4D39-B71E-286BFAA90D70}" destId="{7CF503AE-F1DB-4311-941A-2CB11C88FBD6}" srcOrd="0" destOrd="0" presId="urn:microsoft.com/office/officeart/2005/8/layout/hierarchy4"/>
    <dgm:cxn modelId="{50EB2D4D-0713-405C-99BA-16E38B463FD2}" type="presParOf" srcId="{7CF503AE-F1DB-4311-941A-2CB11C88FBD6}" destId="{635F119B-F0FA-4F7A-9031-4304D43882C6}" srcOrd="0" destOrd="0" presId="urn:microsoft.com/office/officeart/2005/8/layout/hierarchy4"/>
    <dgm:cxn modelId="{FAFC65C9-E052-40C8-A34D-7DAA795226C7}" type="presParOf" srcId="{7CF503AE-F1DB-4311-941A-2CB11C88FBD6}" destId="{EB9EEF74-9F87-4814-B72C-D827E52E6342}" srcOrd="1" destOrd="0" presId="urn:microsoft.com/office/officeart/2005/8/layout/hierarchy4"/>
    <dgm:cxn modelId="{70742519-BB2D-4944-94DC-8DE761504E24}" type="presParOf" srcId="{7CF503AE-F1DB-4311-941A-2CB11C88FBD6}" destId="{166F2013-1BD2-4FE7-94F4-982FB164D287}" srcOrd="2" destOrd="0" presId="urn:microsoft.com/office/officeart/2005/8/layout/hierarchy4"/>
    <dgm:cxn modelId="{15DDAE90-B6D0-4502-965F-4D25D823F898}" type="presParOf" srcId="{166F2013-1BD2-4FE7-94F4-982FB164D287}" destId="{D75B9913-81FD-4F6F-9087-A8B8026F20EF}" srcOrd="0" destOrd="0" presId="urn:microsoft.com/office/officeart/2005/8/layout/hierarchy4"/>
    <dgm:cxn modelId="{F5E2CF3A-9DA5-4D0B-9339-B78EED10EDAF}" type="presParOf" srcId="{D75B9913-81FD-4F6F-9087-A8B8026F20EF}" destId="{A2B3D79E-7B01-42F0-9707-DAC4938C339E}" srcOrd="0" destOrd="0" presId="urn:microsoft.com/office/officeart/2005/8/layout/hierarchy4"/>
    <dgm:cxn modelId="{09CCCE1D-39A1-4BF4-A85E-32EFF283C375}" type="presParOf" srcId="{D75B9913-81FD-4F6F-9087-A8B8026F20EF}" destId="{DD9A505B-1BC0-460A-8D96-F3D35049A5B1}" srcOrd="1" destOrd="0" presId="urn:microsoft.com/office/officeart/2005/8/layout/hierarchy4"/>
    <dgm:cxn modelId="{477BE181-3443-4B51-9CCD-133948B045FC}" type="presParOf" srcId="{D75B9913-81FD-4F6F-9087-A8B8026F20EF}" destId="{881449C7-7928-40F6-A02A-6C8AB787CBBC}" srcOrd="2" destOrd="0" presId="urn:microsoft.com/office/officeart/2005/8/layout/hierarchy4"/>
    <dgm:cxn modelId="{89FB50D2-416A-403E-83D4-2171399E4A05}" type="presParOf" srcId="{881449C7-7928-40F6-A02A-6C8AB787CBBC}" destId="{098E96AD-E2BD-40B7-9760-73AFBDD7AE83}" srcOrd="0" destOrd="0" presId="urn:microsoft.com/office/officeart/2005/8/layout/hierarchy4"/>
    <dgm:cxn modelId="{5BA0B448-8766-43BA-A401-E9957B4D83AF}" type="presParOf" srcId="{098E96AD-E2BD-40B7-9760-73AFBDD7AE83}" destId="{F2DFE7BA-25AA-4E82-944D-1E78934FE02D}" srcOrd="0" destOrd="0" presId="urn:microsoft.com/office/officeart/2005/8/layout/hierarchy4"/>
    <dgm:cxn modelId="{C7C2D2EA-3463-4D84-81A3-EA5206392ACB}" type="presParOf" srcId="{098E96AD-E2BD-40B7-9760-73AFBDD7AE83}" destId="{9A8AE881-C3BF-461A-90B1-E653147B917A}" srcOrd="1" destOrd="0" presId="urn:microsoft.com/office/officeart/2005/8/layout/hierarchy4"/>
    <dgm:cxn modelId="{2B280DC6-35BE-4C56-96FC-CE1A634C0899}" type="presParOf" srcId="{098E96AD-E2BD-40B7-9760-73AFBDD7AE83}" destId="{7D2F5795-993A-4726-B9F8-ADBB2467B5D2}" srcOrd="2" destOrd="0" presId="urn:microsoft.com/office/officeart/2005/8/layout/hierarchy4"/>
    <dgm:cxn modelId="{0E4D4A8F-4A37-4961-A758-C609F999DDB2}" type="presParOf" srcId="{7D2F5795-993A-4726-B9F8-ADBB2467B5D2}" destId="{B0F30F34-3069-4303-81B3-04886A906868}" srcOrd="0" destOrd="0" presId="urn:microsoft.com/office/officeart/2005/8/layout/hierarchy4"/>
    <dgm:cxn modelId="{21C20E59-5F58-4D35-A983-450FD39780E6}" type="presParOf" srcId="{B0F30F34-3069-4303-81B3-04886A906868}" destId="{1BA1D534-9603-4F10-8010-B5CDDC454FFD}" srcOrd="0" destOrd="0" presId="urn:microsoft.com/office/officeart/2005/8/layout/hierarchy4"/>
    <dgm:cxn modelId="{F4A43D2A-7345-4FAC-ACBC-2D131E346458}" type="presParOf" srcId="{B0F30F34-3069-4303-81B3-04886A906868}" destId="{3390CF41-3118-4999-922C-885EA469423E}" srcOrd="1" destOrd="0" presId="urn:microsoft.com/office/officeart/2005/8/layout/hierarchy4"/>
    <dgm:cxn modelId="{7DC4240E-A220-4EC5-BB0C-56B1147C64AC}" type="presParOf" srcId="{7D2F5795-993A-4726-B9F8-ADBB2467B5D2}" destId="{B73FC5B6-866A-41EC-98C6-A6A98C8929D7}" srcOrd="1" destOrd="0" presId="urn:microsoft.com/office/officeart/2005/8/layout/hierarchy4"/>
    <dgm:cxn modelId="{0D6F4343-2866-4ACC-8548-145E045E0A59}" type="presParOf" srcId="{7D2F5795-993A-4726-B9F8-ADBB2467B5D2}" destId="{FF47D770-24F5-42DF-8001-3E2417478080}" srcOrd="2" destOrd="0" presId="urn:microsoft.com/office/officeart/2005/8/layout/hierarchy4"/>
    <dgm:cxn modelId="{A09616F4-7FC2-4709-93AF-ED25C68F4EA9}" type="presParOf" srcId="{FF47D770-24F5-42DF-8001-3E2417478080}" destId="{CC5F8083-59D7-445B-A147-1F182982C431}" srcOrd="0" destOrd="0" presId="urn:microsoft.com/office/officeart/2005/8/layout/hierarchy4"/>
    <dgm:cxn modelId="{4BDCC2CD-6607-4A72-B11D-4F7FC5B4A896}" type="presParOf" srcId="{FF47D770-24F5-42DF-8001-3E2417478080}" destId="{666B795D-5E0A-4329-A885-7D52487942C4}" srcOrd="1" destOrd="0" presId="urn:microsoft.com/office/officeart/2005/8/layout/hierarchy4"/>
    <dgm:cxn modelId="{79ABF677-1E13-47ED-9BFE-ABD133496697}" type="presParOf" srcId="{7D2F5795-993A-4726-B9F8-ADBB2467B5D2}" destId="{897A74AC-40D8-4414-8EC8-7AE847BE69D7}" srcOrd="3" destOrd="0" presId="urn:microsoft.com/office/officeart/2005/8/layout/hierarchy4"/>
    <dgm:cxn modelId="{4AD9EACD-B740-4724-B266-B7BF0060ADB9}" type="presParOf" srcId="{7D2F5795-993A-4726-B9F8-ADBB2467B5D2}" destId="{26E97D84-DD19-433D-A90C-105272C89F37}" srcOrd="4" destOrd="0" presId="urn:microsoft.com/office/officeart/2005/8/layout/hierarchy4"/>
    <dgm:cxn modelId="{4F021850-83D0-4B68-B6D2-B591F151049A}" type="presParOf" srcId="{26E97D84-DD19-433D-A90C-105272C89F37}" destId="{C2C3B006-26EA-4107-BE93-7934EF285380}" srcOrd="0" destOrd="0" presId="urn:microsoft.com/office/officeart/2005/8/layout/hierarchy4"/>
    <dgm:cxn modelId="{9329A261-7AE8-4DDB-A6C5-7B16EE3FF7F0}" type="presParOf" srcId="{26E97D84-DD19-433D-A90C-105272C89F37}" destId="{6AE9266A-A36B-472D-86A4-F28738B0076A}" srcOrd="1" destOrd="0" presId="urn:microsoft.com/office/officeart/2005/8/layout/hierarchy4"/>
    <dgm:cxn modelId="{91022A92-8B48-4A04-A620-BF6B0ACF1754}" type="presParOf" srcId="{7D2F5795-993A-4726-B9F8-ADBB2467B5D2}" destId="{A783B5D2-EA92-453D-8923-1300896B3A01}" srcOrd="5" destOrd="0" presId="urn:microsoft.com/office/officeart/2005/8/layout/hierarchy4"/>
    <dgm:cxn modelId="{FBF47EF1-4BB8-4B05-A514-28039739C816}" type="presParOf" srcId="{7D2F5795-993A-4726-B9F8-ADBB2467B5D2}" destId="{5D60B772-E65B-47C3-8D88-BBB947CD1338}" srcOrd="6" destOrd="0" presId="urn:microsoft.com/office/officeart/2005/8/layout/hierarchy4"/>
    <dgm:cxn modelId="{FF07A2E3-1B19-47A7-89E8-57729FD729B8}" type="presParOf" srcId="{5D60B772-E65B-47C3-8D88-BBB947CD1338}" destId="{5BB81F09-2B52-4218-9F33-385D2BE2F8C9}" srcOrd="0" destOrd="0" presId="urn:microsoft.com/office/officeart/2005/8/layout/hierarchy4"/>
    <dgm:cxn modelId="{E2639BA2-1536-4258-83DE-6D9BB6DDC260}" type="presParOf" srcId="{5D60B772-E65B-47C3-8D88-BBB947CD1338}" destId="{84E925D3-F38D-4BD3-99B6-4A896FCF44A3}" srcOrd="1" destOrd="0" presId="urn:microsoft.com/office/officeart/2005/8/layout/hierarchy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9D6246-7066-41DC-A2F7-751A8A1A360A}">
      <dsp:nvSpPr>
        <dsp:cNvPr id="0" name=""/>
        <dsp:cNvSpPr/>
      </dsp:nvSpPr>
      <dsp:spPr>
        <a:xfrm>
          <a:off x="1130292" y="-28772"/>
          <a:ext cx="3225815" cy="3225815"/>
        </a:xfrm>
        <a:prstGeom prst="circularArrow">
          <a:avLst>
            <a:gd name="adj1" fmla="val 5544"/>
            <a:gd name="adj2" fmla="val 330680"/>
            <a:gd name="adj3" fmla="val 14674019"/>
            <a:gd name="adj4" fmla="val 16860203"/>
            <a:gd name="adj5" fmla="val 5757"/>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AFF0E44-342C-4738-B836-E5C0B660180F}">
      <dsp:nvSpPr>
        <dsp:cNvPr id="0" name=""/>
        <dsp:cNvSpPr/>
      </dsp:nvSpPr>
      <dsp:spPr>
        <a:xfrm>
          <a:off x="2297831" y="1901"/>
          <a:ext cx="890736" cy="445368"/>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Strategy</a:t>
          </a:r>
        </a:p>
      </dsp:txBody>
      <dsp:txXfrm>
        <a:off x="2319572" y="23642"/>
        <a:ext cx="847254" cy="401886"/>
      </dsp:txXfrm>
    </dsp:sp>
    <dsp:sp modelId="{8330EBD5-33AF-4829-BCF8-234635177C04}">
      <dsp:nvSpPr>
        <dsp:cNvPr id="0" name=""/>
        <dsp:cNvSpPr/>
      </dsp:nvSpPr>
      <dsp:spPr>
        <a:xfrm>
          <a:off x="3270537" y="404809"/>
          <a:ext cx="890736" cy="445368"/>
        </a:xfrm>
        <a:prstGeom prst="roundRect">
          <a:avLst/>
        </a:prstGeom>
        <a:solidFill>
          <a:schemeClr val="accent5">
            <a:hueOff val="-1050478"/>
            <a:satOff val="-1461"/>
            <a:lumOff val="-56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Policy	</a:t>
          </a:r>
        </a:p>
      </dsp:txBody>
      <dsp:txXfrm>
        <a:off x="3292278" y="426550"/>
        <a:ext cx="847254" cy="401886"/>
      </dsp:txXfrm>
    </dsp:sp>
    <dsp:sp modelId="{41CBA7F1-AC44-4894-B661-12A7E5A75401}">
      <dsp:nvSpPr>
        <dsp:cNvPr id="0" name=""/>
        <dsp:cNvSpPr/>
      </dsp:nvSpPr>
      <dsp:spPr>
        <a:xfrm>
          <a:off x="3673445" y="1377515"/>
          <a:ext cx="890736" cy="445368"/>
        </a:xfrm>
        <a:prstGeom prst="roundRect">
          <a:avLst/>
        </a:prstGeom>
        <a:solidFill>
          <a:schemeClr val="accent5">
            <a:hueOff val="-2100956"/>
            <a:satOff val="-2922"/>
            <a:lumOff val="-112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Energy survey</a:t>
          </a:r>
        </a:p>
      </dsp:txBody>
      <dsp:txXfrm>
        <a:off x="3695186" y="1399256"/>
        <a:ext cx="847254" cy="401886"/>
      </dsp:txXfrm>
    </dsp:sp>
    <dsp:sp modelId="{329309D8-0AA5-4EC8-B50B-230BDD8656F9}">
      <dsp:nvSpPr>
        <dsp:cNvPr id="0" name=""/>
        <dsp:cNvSpPr/>
      </dsp:nvSpPr>
      <dsp:spPr>
        <a:xfrm>
          <a:off x="3270537" y="2350221"/>
          <a:ext cx="890736" cy="445368"/>
        </a:xfrm>
        <a:prstGeom prst="roundRect">
          <a:avLst/>
        </a:prstGeom>
        <a:solidFill>
          <a:schemeClr val="accent5">
            <a:hueOff val="-3151433"/>
            <a:satOff val="-4383"/>
            <a:lumOff val="-16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Energy transformation plan</a:t>
          </a:r>
        </a:p>
      </dsp:txBody>
      <dsp:txXfrm>
        <a:off x="3292278" y="2371962"/>
        <a:ext cx="847254" cy="401886"/>
      </dsp:txXfrm>
    </dsp:sp>
    <dsp:sp modelId="{59AF543C-BC0C-44FF-81EB-5E2CA41198D0}">
      <dsp:nvSpPr>
        <dsp:cNvPr id="0" name=""/>
        <dsp:cNvSpPr/>
      </dsp:nvSpPr>
      <dsp:spPr>
        <a:xfrm>
          <a:off x="2297831" y="2753130"/>
          <a:ext cx="890736" cy="445368"/>
        </a:xfrm>
        <a:prstGeom prst="roundRect">
          <a:avLst/>
        </a:prstGeom>
        <a:solidFill>
          <a:schemeClr val="accent5">
            <a:hueOff val="-4201911"/>
            <a:satOff val="-5845"/>
            <a:lumOff val="-22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Funding</a:t>
          </a:r>
        </a:p>
      </dsp:txBody>
      <dsp:txXfrm>
        <a:off x="2319572" y="2774871"/>
        <a:ext cx="847254" cy="401886"/>
      </dsp:txXfrm>
    </dsp:sp>
    <dsp:sp modelId="{49A38F35-D242-42F9-81B9-96F1F4A447DC}">
      <dsp:nvSpPr>
        <dsp:cNvPr id="0" name=""/>
        <dsp:cNvSpPr/>
      </dsp:nvSpPr>
      <dsp:spPr>
        <a:xfrm>
          <a:off x="1325125" y="2350221"/>
          <a:ext cx="890736" cy="445368"/>
        </a:xfrm>
        <a:prstGeom prst="roundRect">
          <a:avLst/>
        </a:prstGeom>
        <a:solidFill>
          <a:schemeClr val="accent5">
            <a:hueOff val="-5252389"/>
            <a:satOff val="-7306"/>
            <a:lumOff val="-280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Implementation</a:t>
          </a:r>
        </a:p>
      </dsp:txBody>
      <dsp:txXfrm>
        <a:off x="1346866" y="2371962"/>
        <a:ext cx="847254" cy="401886"/>
      </dsp:txXfrm>
    </dsp:sp>
    <dsp:sp modelId="{AA0388BE-BA23-4EFF-9F87-4F8DD454C77D}">
      <dsp:nvSpPr>
        <dsp:cNvPr id="0" name=""/>
        <dsp:cNvSpPr/>
      </dsp:nvSpPr>
      <dsp:spPr>
        <a:xfrm>
          <a:off x="922217" y="1377515"/>
          <a:ext cx="890736" cy="445368"/>
        </a:xfrm>
        <a:prstGeom prst="roundRect">
          <a:avLst/>
        </a:prstGeom>
        <a:solidFill>
          <a:schemeClr val="accent5">
            <a:hueOff val="-6302867"/>
            <a:satOff val="-8767"/>
            <a:lumOff val="-33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On-going support</a:t>
          </a:r>
        </a:p>
      </dsp:txBody>
      <dsp:txXfrm>
        <a:off x="943958" y="1399256"/>
        <a:ext cx="847254" cy="401886"/>
      </dsp:txXfrm>
    </dsp:sp>
    <dsp:sp modelId="{D520A1DF-C92D-4953-8B5D-4127226B01E8}">
      <dsp:nvSpPr>
        <dsp:cNvPr id="0" name=""/>
        <dsp:cNvSpPr/>
      </dsp:nvSpPr>
      <dsp:spPr>
        <a:xfrm>
          <a:off x="1325125" y="404809"/>
          <a:ext cx="890736" cy="445368"/>
        </a:xfrm>
        <a:prstGeom prst="roundRect">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Analysis</a:t>
          </a:r>
        </a:p>
      </dsp:txBody>
      <dsp:txXfrm>
        <a:off x="1346866" y="426550"/>
        <a:ext cx="847254" cy="40188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9A773D-FC73-41AB-AFC4-3CA5FA22015D}">
      <dsp:nvSpPr>
        <dsp:cNvPr id="0" name=""/>
        <dsp:cNvSpPr/>
      </dsp:nvSpPr>
      <dsp:spPr>
        <a:xfrm>
          <a:off x="332" y="853"/>
          <a:ext cx="5485735" cy="5467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7630" tIns="87630" rIns="87630" bIns="87630" numCol="1" spcCol="1270" anchor="ctr" anchorCtr="0">
          <a:noAutofit/>
        </a:bodyPr>
        <a:lstStyle/>
        <a:p>
          <a:pPr marL="0" lvl="0" indent="0" algn="ctr" defTabSz="1022350">
            <a:lnSpc>
              <a:spcPct val="90000"/>
            </a:lnSpc>
            <a:spcBef>
              <a:spcPct val="0"/>
            </a:spcBef>
            <a:spcAft>
              <a:spcPct val="35000"/>
            </a:spcAft>
            <a:buNone/>
          </a:pPr>
          <a:r>
            <a:rPr lang="en-GB" sz="2300" kern="1200"/>
            <a:t>Finance, Estates and Operations Committee</a:t>
          </a:r>
        </a:p>
      </dsp:txBody>
      <dsp:txXfrm>
        <a:off x="16346" y="16867"/>
        <a:ext cx="5453707" cy="514720"/>
      </dsp:txXfrm>
    </dsp:sp>
    <dsp:sp modelId="{635F119B-F0FA-4F7A-9031-4304D43882C6}">
      <dsp:nvSpPr>
        <dsp:cNvPr id="0" name=""/>
        <dsp:cNvSpPr/>
      </dsp:nvSpPr>
      <dsp:spPr>
        <a:xfrm>
          <a:off x="332" y="604308"/>
          <a:ext cx="5485735" cy="546748"/>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Energy Strategy Group (Reporting to the Executive Leadership Team)</a:t>
          </a:r>
        </a:p>
      </dsp:txBody>
      <dsp:txXfrm>
        <a:off x="16346" y="620322"/>
        <a:ext cx="5453707" cy="514720"/>
      </dsp:txXfrm>
    </dsp:sp>
    <dsp:sp modelId="{A2B3D79E-7B01-42F0-9707-DAC4938C339E}">
      <dsp:nvSpPr>
        <dsp:cNvPr id="0" name=""/>
        <dsp:cNvSpPr/>
      </dsp:nvSpPr>
      <dsp:spPr>
        <a:xfrm>
          <a:off x="332" y="1207763"/>
          <a:ext cx="5485735" cy="546748"/>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Director of Operations</a:t>
          </a:r>
        </a:p>
      </dsp:txBody>
      <dsp:txXfrm>
        <a:off x="16346" y="1223777"/>
        <a:ext cx="5453707" cy="514720"/>
      </dsp:txXfrm>
    </dsp:sp>
    <dsp:sp modelId="{F2DFE7BA-25AA-4E82-944D-1E78934FE02D}">
      <dsp:nvSpPr>
        <dsp:cNvPr id="0" name=""/>
        <dsp:cNvSpPr/>
      </dsp:nvSpPr>
      <dsp:spPr>
        <a:xfrm>
          <a:off x="332" y="1811218"/>
          <a:ext cx="5485735" cy="546748"/>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7630" tIns="87630" rIns="87630" bIns="87630" numCol="1" spcCol="1270" anchor="ctr" anchorCtr="0">
          <a:noAutofit/>
        </a:bodyPr>
        <a:lstStyle/>
        <a:p>
          <a:pPr marL="0" lvl="0" indent="0" algn="ctr" defTabSz="1022350">
            <a:lnSpc>
              <a:spcPct val="90000"/>
            </a:lnSpc>
            <a:spcBef>
              <a:spcPct val="0"/>
            </a:spcBef>
            <a:spcAft>
              <a:spcPct val="35000"/>
            </a:spcAft>
            <a:buNone/>
          </a:pPr>
          <a:r>
            <a:rPr lang="en-GB" sz="2300" kern="1200"/>
            <a:t>Climate Change Strategic Group</a:t>
          </a:r>
          <a:endParaRPr lang="en-GB" sz="1000" kern="1200"/>
        </a:p>
      </dsp:txBody>
      <dsp:txXfrm>
        <a:off x="16346" y="1827232"/>
        <a:ext cx="5453707" cy="514720"/>
      </dsp:txXfrm>
    </dsp:sp>
    <dsp:sp modelId="{1BA1D534-9603-4F10-8010-B5CDDC454FFD}">
      <dsp:nvSpPr>
        <dsp:cNvPr id="0" name=""/>
        <dsp:cNvSpPr/>
      </dsp:nvSpPr>
      <dsp:spPr>
        <a:xfrm>
          <a:off x="332" y="2414673"/>
          <a:ext cx="1350168" cy="546748"/>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Workstream team - Energy Procurement</a:t>
          </a:r>
        </a:p>
      </dsp:txBody>
      <dsp:txXfrm>
        <a:off x="16346" y="2430687"/>
        <a:ext cx="1318140" cy="514720"/>
      </dsp:txXfrm>
    </dsp:sp>
    <dsp:sp modelId="{CC5F8083-59D7-445B-A147-1F182982C431}">
      <dsp:nvSpPr>
        <dsp:cNvPr id="0" name=""/>
        <dsp:cNvSpPr/>
      </dsp:nvSpPr>
      <dsp:spPr>
        <a:xfrm>
          <a:off x="1378854" y="2414673"/>
          <a:ext cx="1350168" cy="546748"/>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Workstream team - Reducing Energy Consumption</a:t>
          </a:r>
        </a:p>
      </dsp:txBody>
      <dsp:txXfrm>
        <a:off x="1394868" y="2430687"/>
        <a:ext cx="1318140" cy="514720"/>
      </dsp:txXfrm>
    </dsp:sp>
    <dsp:sp modelId="{C2C3B006-26EA-4107-BE93-7934EF285380}">
      <dsp:nvSpPr>
        <dsp:cNvPr id="0" name=""/>
        <dsp:cNvSpPr/>
      </dsp:nvSpPr>
      <dsp:spPr>
        <a:xfrm>
          <a:off x="2757376" y="2414673"/>
          <a:ext cx="1350168" cy="546748"/>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Workstream team - Energy Generation		</a:t>
          </a:r>
        </a:p>
      </dsp:txBody>
      <dsp:txXfrm>
        <a:off x="2773390" y="2430687"/>
        <a:ext cx="1318140" cy="514720"/>
      </dsp:txXfrm>
    </dsp:sp>
    <dsp:sp modelId="{5BB81F09-2B52-4218-9F33-385D2BE2F8C9}">
      <dsp:nvSpPr>
        <dsp:cNvPr id="0" name=""/>
        <dsp:cNvSpPr/>
      </dsp:nvSpPr>
      <dsp:spPr>
        <a:xfrm>
          <a:off x="4135899" y="2414673"/>
          <a:ext cx="1350168" cy="546748"/>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Workstream team - Embedding Behavioural Change</a:t>
          </a:r>
        </a:p>
      </dsp:txBody>
      <dsp:txXfrm>
        <a:off x="4151913" y="2430687"/>
        <a:ext cx="1318140" cy="514720"/>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d44857-bb66-430f-923e-f4516c417513" xsi:nil="true"/>
    <lcf76f155ced4ddcb4097134ff3c332f xmlns="c7df3e6c-e116-475d-8620-6791c058f8f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B20A055C0DD14F94C4C2FFCB2D5C87" ma:contentTypeVersion="18" ma:contentTypeDescription="Create a new document." ma:contentTypeScope="" ma:versionID="61dc649785ee8fdf9436630bc22bdd93">
  <xsd:schema xmlns:xsd="http://www.w3.org/2001/XMLSchema" xmlns:xs="http://www.w3.org/2001/XMLSchema" xmlns:p="http://schemas.microsoft.com/office/2006/metadata/properties" xmlns:ns2="c7df3e6c-e116-475d-8620-6791c058f8f5" xmlns:ns3="7fd44857-bb66-430f-923e-f4516c417513" targetNamespace="http://schemas.microsoft.com/office/2006/metadata/properties" ma:root="true" ma:fieldsID="640a54c3036b8138a899a2b327615abc" ns2:_="" ns3:_="">
    <xsd:import namespace="c7df3e6c-e116-475d-8620-6791c058f8f5"/>
    <xsd:import namespace="7fd44857-bb66-430f-923e-f4516c4175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f3e6c-e116-475d-8620-6791c058f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be7bfe-32ee-4e76-a370-101bf82a255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d44857-bb66-430f-923e-f4516c4175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871f45-5c2a-4c8c-9cb5-d5434b66514e}" ma:internalName="TaxCatchAll" ma:showField="CatchAllData" ma:web="7fd44857-bb66-430f-923e-f4516c4175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CE9CAE-FE90-41E6-9FA3-1242326B1854}">
  <ds:schemaRefs>
    <ds:schemaRef ds:uri="http://schemas.microsoft.com/office/2006/metadata/properties"/>
    <ds:schemaRef ds:uri="http://schemas.microsoft.com/office/infopath/2007/PartnerControls"/>
    <ds:schemaRef ds:uri="7fd44857-bb66-430f-923e-f4516c417513"/>
    <ds:schemaRef ds:uri="c7df3e6c-e116-475d-8620-6791c058f8f5"/>
  </ds:schemaRefs>
</ds:datastoreItem>
</file>

<file path=customXml/itemProps2.xml><?xml version="1.0" encoding="utf-8"?>
<ds:datastoreItem xmlns:ds="http://schemas.openxmlformats.org/officeDocument/2006/customXml" ds:itemID="{265B8E63-3C61-490D-9C9F-4BAC20728DD7}">
  <ds:schemaRefs>
    <ds:schemaRef ds:uri="http://schemas.openxmlformats.org/officeDocument/2006/bibliography"/>
  </ds:schemaRefs>
</ds:datastoreItem>
</file>

<file path=customXml/itemProps3.xml><?xml version="1.0" encoding="utf-8"?>
<ds:datastoreItem xmlns:ds="http://schemas.openxmlformats.org/officeDocument/2006/customXml" ds:itemID="{1F6D65CF-108B-4E9F-B4CD-0E604EA7468A}"/>
</file>

<file path=customXml/itemProps4.xml><?xml version="1.0" encoding="utf-8"?>
<ds:datastoreItem xmlns:ds="http://schemas.openxmlformats.org/officeDocument/2006/customXml" ds:itemID="{C079227C-4317-49D6-B4E3-C3C07C56D6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4012</Words>
  <Characters>22871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Anglian Learning</Company>
  <LinksUpToDate>false</LinksUpToDate>
  <CharactersWithSpaces>26830</CharactersWithSpaces>
  <SharedDoc>false</SharedDoc>
  <HLinks>
    <vt:vector size="54" baseType="variant">
      <vt:variant>
        <vt:i4>1703989</vt:i4>
      </vt:variant>
      <vt:variant>
        <vt:i4>50</vt:i4>
      </vt:variant>
      <vt:variant>
        <vt:i4>0</vt:i4>
      </vt:variant>
      <vt:variant>
        <vt:i4>5</vt:i4>
      </vt:variant>
      <vt:variant>
        <vt:lpwstr/>
      </vt:variant>
      <vt:variant>
        <vt:lpwstr>_Toc112075192</vt:lpwstr>
      </vt:variant>
      <vt:variant>
        <vt:i4>1703989</vt:i4>
      </vt:variant>
      <vt:variant>
        <vt:i4>44</vt:i4>
      </vt:variant>
      <vt:variant>
        <vt:i4>0</vt:i4>
      </vt:variant>
      <vt:variant>
        <vt:i4>5</vt:i4>
      </vt:variant>
      <vt:variant>
        <vt:lpwstr/>
      </vt:variant>
      <vt:variant>
        <vt:lpwstr>_Toc112075191</vt:lpwstr>
      </vt:variant>
      <vt:variant>
        <vt:i4>1703989</vt:i4>
      </vt:variant>
      <vt:variant>
        <vt:i4>38</vt:i4>
      </vt:variant>
      <vt:variant>
        <vt:i4>0</vt:i4>
      </vt:variant>
      <vt:variant>
        <vt:i4>5</vt:i4>
      </vt:variant>
      <vt:variant>
        <vt:lpwstr/>
      </vt:variant>
      <vt:variant>
        <vt:lpwstr>_Toc112075190</vt:lpwstr>
      </vt:variant>
      <vt:variant>
        <vt:i4>1769525</vt:i4>
      </vt:variant>
      <vt:variant>
        <vt:i4>32</vt:i4>
      </vt:variant>
      <vt:variant>
        <vt:i4>0</vt:i4>
      </vt:variant>
      <vt:variant>
        <vt:i4>5</vt:i4>
      </vt:variant>
      <vt:variant>
        <vt:lpwstr/>
      </vt:variant>
      <vt:variant>
        <vt:lpwstr>_Toc112075189</vt:lpwstr>
      </vt:variant>
      <vt:variant>
        <vt:i4>1769525</vt:i4>
      </vt:variant>
      <vt:variant>
        <vt:i4>26</vt:i4>
      </vt:variant>
      <vt:variant>
        <vt:i4>0</vt:i4>
      </vt:variant>
      <vt:variant>
        <vt:i4>5</vt:i4>
      </vt:variant>
      <vt:variant>
        <vt:lpwstr/>
      </vt:variant>
      <vt:variant>
        <vt:lpwstr>_Toc112075188</vt:lpwstr>
      </vt:variant>
      <vt:variant>
        <vt:i4>1769525</vt:i4>
      </vt:variant>
      <vt:variant>
        <vt:i4>20</vt:i4>
      </vt:variant>
      <vt:variant>
        <vt:i4>0</vt:i4>
      </vt:variant>
      <vt:variant>
        <vt:i4>5</vt:i4>
      </vt:variant>
      <vt:variant>
        <vt:lpwstr/>
      </vt:variant>
      <vt:variant>
        <vt:lpwstr>_Toc112075187</vt:lpwstr>
      </vt:variant>
      <vt:variant>
        <vt:i4>1769525</vt:i4>
      </vt:variant>
      <vt:variant>
        <vt:i4>14</vt:i4>
      </vt:variant>
      <vt:variant>
        <vt:i4>0</vt:i4>
      </vt:variant>
      <vt:variant>
        <vt:i4>5</vt:i4>
      </vt:variant>
      <vt:variant>
        <vt:lpwstr/>
      </vt:variant>
      <vt:variant>
        <vt:lpwstr>_Toc112075186</vt:lpwstr>
      </vt:variant>
      <vt:variant>
        <vt:i4>1769525</vt:i4>
      </vt:variant>
      <vt:variant>
        <vt:i4>8</vt:i4>
      </vt:variant>
      <vt:variant>
        <vt:i4>0</vt:i4>
      </vt:variant>
      <vt:variant>
        <vt:i4>5</vt:i4>
      </vt:variant>
      <vt:variant>
        <vt:lpwstr/>
      </vt:variant>
      <vt:variant>
        <vt:lpwstr>_Toc112075185</vt:lpwstr>
      </vt:variant>
      <vt:variant>
        <vt:i4>1769525</vt:i4>
      </vt:variant>
      <vt:variant>
        <vt:i4>2</vt:i4>
      </vt:variant>
      <vt:variant>
        <vt:i4>0</vt:i4>
      </vt:variant>
      <vt:variant>
        <vt:i4>5</vt:i4>
      </vt:variant>
      <vt:variant>
        <vt:lpwstr/>
      </vt:variant>
      <vt:variant>
        <vt:lpwstr>_Toc112075184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Golding, Mrs S</dc:creator>
  <cp:keywords/>
  <dc:description/>
  <cp:lastModifiedBy>Claudine Bateman</cp:lastModifiedBy>
  <cp:revision>2</cp:revision>
  <cp:lastPrinted>2019-03-06T15:33:00Z</cp:lastPrinted>
  <dcterms:created xsi:type="dcterms:W3CDTF">2024-06-04T15:17:00Z</dcterms:created>
  <dcterms:modified xsi:type="dcterms:W3CDTF">2024-06-04T15:17:00Z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0x01010071B20A055C0DD14F94C4C2FFCB2D5C87</vt:lpwstr>
  </property>
  <property fmtid="{D5CDD505-2E9C-101B-9397-08002B2CF9AE}" pid="3" name="MediaServiceImageTags">
    <vt:lpwstr/>
  </property>
</Properties>
</file>